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32"/>
        </w:rPr>
        <w:t xml:space="preserve">                                                                                                 </w:t>
      </w:r>
      <w:r>
        <w:rPr>
          <w:rFonts w:eastAsia="Arial" w:cs="Arial" w:ascii="Arial" w:hAnsi="Arial"/>
          <w:sz w:val="32"/>
          <w:vertAlign w:val="subscript"/>
        </w:rPr>
        <w:t>Strana: 1/9</w:t>
      </w:r>
      <w:r>
        <w:rPr>
          <w:rFonts w:eastAsia="Arial" w:cs="Arial" w:ascii="Arial" w:hAnsi="Arial"/>
          <w:b/>
          <w:sz w:val="32"/>
        </w:rPr>
        <w:t xml:space="preserve"> </w:t>
      </w:r>
    </w:p>
    <w:p>
      <w:pPr>
        <w:pStyle w:val="Normal"/>
        <w:spacing w:before="0" w:after="0"/>
        <w:ind w:right="3754" w:hanging="0"/>
        <w:jc w:val="center"/>
        <w:rPr/>
      </w:pPr>
      <w:r>
        <w:rPr/>
        <w:drawing>
          <wp:inline distT="0" distB="0" distL="0" distR="0">
            <wp:extent cx="1797050" cy="552450"/>
            <wp:effectExtent l="0" t="0" r="0" b="0"/>
            <wp:docPr id="1" name="Pictur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32"/>
        </w:rPr>
        <w:t xml:space="preserve">     </w:t>
      </w:r>
      <w:r>
        <w:rPr>
          <w:rFonts w:eastAsia="Arial" w:cs="Arial" w:ascii="Arial" w:hAnsi="Arial"/>
          <w:b/>
          <w:sz w:val="32"/>
        </w:rPr>
        <w:t>Bezpečnostní list</w:t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0"/>
        <w:ind w:left="109" w:hanging="0"/>
        <w:jc w:val="center"/>
        <w:rPr/>
      </w:pPr>
      <w:r>
        <w:rPr>
          <w:rFonts w:eastAsia="Arial" w:cs="Arial" w:ascii="Arial" w:hAnsi="Arial"/>
          <w:b/>
          <w:sz w:val="26"/>
        </w:rPr>
        <w:t xml:space="preserve">Dle nařízení (EC) Nr. 1907/2006 ve znění pozdějších předpisů </w:t>
      </w:r>
    </w:p>
    <w:p>
      <w:pPr>
        <w:pStyle w:val="Normal"/>
        <w:spacing w:before="0" w:after="0"/>
        <w:ind w:left="483" w:hanging="10"/>
        <w:rPr/>
      </w:pPr>
      <w:r>
        <w:rPr>
          <w:rFonts w:eastAsia="Arial" w:cs="Arial" w:ascii="Arial" w:hAnsi="Arial"/>
          <w:sz w:val="20"/>
        </w:rPr>
        <w:t xml:space="preserve">Datum vydání: </w:t>
      </w:r>
      <w:r>
        <w:rPr>
          <w:rFonts w:eastAsia="Arial" w:cs="Arial" w:ascii="Arial" w:hAnsi="Arial"/>
          <w:sz w:val="20"/>
        </w:rPr>
        <w:t>26.08.2021</w:t>
      </w:r>
      <w:r>
        <w:rPr>
          <w:rFonts w:eastAsia="Arial" w:cs="Arial" w:ascii="Arial" w:hAnsi="Arial"/>
          <w:sz w:val="20"/>
        </w:rPr>
        <w:t xml:space="preserve">                                                  </w:t>
        <w:tab/>
        <w:tab/>
        <w:tab/>
        <w:t>Datum revize: 2</w:t>
      </w:r>
      <w:r>
        <w:rPr>
          <w:rFonts w:eastAsia="Arial" w:cs="Arial" w:ascii="Arial" w:hAnsi="Arial"/>
          <w:sz w:val="20"/>
        </w:rPr>
        <w:t>6</w:t>
      </w:r>
      <w:r>
        <w:rPr>
          <w:rFonts w:eastAsia="Arial" w:cs="Arial" w:ascii="Arial" w:hAnsi="Arial"/>
          <w:sz w:val="20"/>
        </w:rPr>
        <w:t>.0</w:t>
      </w:r>
      <w:r>
        <w:rPr>
          <w:rFonts w:eastAsia="Arial" w:cs="Arial" w:ascii="Arial" w:hAnsi="Arial"/>
          <w:sz w:val="20"/>
        </w:rPr>
        <w:t>8</w:t>
      </w:r>
      <w:r>
        <w:rPr>
          <w:rFonts w:eastAsia="Arial" w:cs="Arial" w:ascii="Arial" w:hAnsi="Arial"/>
          <w:sz w:val="20"/>
        </w:rPr>
        <w:t>.20</w:t>
      </w:r>
      <w:r>
        <w:rPr>
          <w:rFonts w:eastAsia="Arial" w:cs="Arial" w:ascii="Arial" w:hAnsi="Arial"/>
          <w:sz w:val="20"/>
        </w:rPr>
        <w:t>21</w:t>
      </w:r>
      <w:r>
        <w:rPr>
          <w:rFonts w:eastAsia="Arial" w:cs="Arial" w:ascii="Arial" w:hAnsi="Arial"/>
          <w:sz w:val="20"/>
        </w:rPr>
        <w:t xml:space="preserve"> </w:t>
      </w:r>
    </w:p>
    <w:tbl>
      <w:tblPr>
        <w:tblStyle w:val="TableGrid"/>
        <w:tblpPr w:bottomFromText="0" w:horzAnchor="text" w:leftFromText="0" w:rightFromText="0" w:tblpX="135" w:tblpY="84" w:topFromText="0" w:vertAnchor="text"/>
        <w:tblW w:w="9614" w:type="dxa"/>
        <w:jc w:val="left"/>
        <w:tblInd w:w="0" w:type="dxa"/>
        <w:tblCellMar>
          <w:top w:w="80" w:type="dxa"/>
          <w:left w:w="153" w:type="dxa"/>
          <w:bottom w:w="0" w:type="dxa"/>
          <w:right w:w="92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7077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87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7"/>
            </w:tblGrid>
            <w:tr>
              <w:trPr>
                <w:trHeight w:val="319" w:hRule="atLeast"/>
              </w:trPr>
              <w:tc>
                <w:tcPr>
                  <w:tcW w:w="9287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1 Identifikace produktu a společnosti          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393" w:leader="none"/>
              </w:tabs>
              <w:spacing w:lineRule="auto" w:line="240" w:before="0" w:after="85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1.1 </w:t>
              <w:tab/>
              <w:t xml:space="preserve">Identifiakace produktu: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Segoe UI Symbol" w:cs="Segoe UI Symbol" w:ascii="Segoe UI Symbol" w:hAnsi="Segoe UI Symbol"/>
                <w:sz w:val="20"/>
              </w:rPr>
              <w:t>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Obchodní jméno: </w:t>
            </w:r>
            <w:r>
              <w:rPr>
                <w:rFonts w:eastAsia="Arial" w:cs="Arial" w:ascii="Arial" w:hAnsi="Arial"/>
                <w:b/>
                <w:sz w:val="28"/>
                <w:u w:val="single" w:color="000000"/>
              </w:rPr>
              <w:t xml:space="preserve"> Značkovací spray </w:t>
            </w:r>
            <w:r>
              <w:rPr>
                <w:rFonts w:eastAsia="Arial" w:cs="Arial" w:ascii="Arial" w:hAnsi="Arial"/>
                <w:b/>
                <w:sz w:val="28"/>
                <w:u w:val="single" w:color="000000"/>
              </w:rPr>
              <w:t xml:space="preserve">Top Marker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b/>
                <w:sz w:val="28"/>
                <w:u w:val="none" w:color="000000"/>
              </w:rPr>
              <w:t xml:space="preserve">                         </w:t>
            </w:r>
            <w:r>
              <w:rPr>
                <w:rFonts w:eastAsia="Arial" w:cs="Arial" w:ascii="Arial" w:hAnsi="Arial"/>
                <w:b/>
                <w:sz w:val="28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28"/>
                <w:u w:val="none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 w:val="28"/>
                <w:u w:val="none"/>
              </w:rPr>
              <w:t xml:space="preserve">červený, </w:t>
            </w:r>
            <w:r>
              <w:rPr>
                <w:rFonts w:eastAsia="Arial" w:cs="Arial" w:ascii="Arial" w:hAnsi="Arial"/>
                <w:b w:val="false"/>
                <w:bCs w:val="false"/>
                <w:sz w:val="28"/>
                <w:u w:val="none"/>
              </w:rPr>
              <w:t xml:space="preserve">modrý, </w:t>
            </w:r>
            <w:r>
              <w:rPr>
                <w:rFonts w:eastAsia="Arial" w:cs="Arial" w:ascii="Arial" w:hAnsi="Arial"/>
                <w:b w:val="false"/>
                <w:bCs w:val="false"/>
                <w:sz w:val="28"/>
                <w:u w:val="none"/>
              </w:rPr>
              <w:t xml:space="preserve">zelený, </w:t>
            </w:r>
            <w:r>
              <w:rPr>
                <w:rFonts w:eastAsia="Arial" w:cs="Arial" w:ascii="Arial" w:hAnsi="Arial"/>
                <w:b w:val="false"/>
                <w:bCs w:val="false"/>
                <w:sz w:val="28"/>
                <w:u w:val="none"/>
              </w:rPr>
              <w:t>černý, fialový, oranžový</w:t>
            </w:r>
            <w:r>
              <w:rPr>
                <w:rFonts w:eastAsia="Arial" w:cs="Arial" w:ascii="Arial" w:hAnsi="Arial"/>
                <w:b w:val="false"/>
                <w:bCs w:val="false"/>
                <w:sz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Segoe UI Symbol" w:cs="Segoe UI Symbol" w:ascii="Segoe UI Symbol" w:hAnsi="Segoe UI Symbol"/>
                <w:b w:val="false"/>
                <w:bCs w:val="false"/>
                <w:sz w:val="20"/>
                <w:u w:val="none"/>
              </w:rPr>
              <w:t xml:space="preserve"> </w:t>
            </w:r>
            <w:r>
              <w:rPr>
                <w:rFonts w:eastAsia="Segoe UI Symbol" w:cs="Segoe UI Symbol" w:ascii="Segoe UI Symbol" w:hAnsi="Segoe UI Symbol"/>
                <w:b w:val="false"/>
                <w:bCs w:val="false"/>
                <w:sz w:val="20"/>
                <w:u w:val="none"/>
              </w:rPr>
              <w:t xml:space="preserve">červený - 20124, 20150, 20156, modrý – 20123, zelený – 20122, 20148, 20157,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Segoe UI Symbol" w:cs="Segoe UI Symbol" w:ascii="Segoe UI Symbol" w:hAnsi="Segoe UI Symbol"/>
                <w:b w:val="false"/>
                <w:bCs w:val="false"/>
                <w:sz w:val="20"/>
                <w:u w:val="none"/>
              </w:rPr>
              <w:t xml:space="preserve">    </w:t>
            </w:r>
            <w:r>
              <w:rPr>
                <w:rFonts w:eastAsia="Segoe UI Symbol" w:cs="Segoe UI Symbol" w:ascii="Segoe UI Symbol" w:hAnsi="Segoe UI Symbol"/>
                <w:b w:val="false"/>
                <w:bCs w:val="false"/>
                <w:sz w:val="20"/>
                <w:u w:val="none"/>
              </w:rPr>
              <w:t>černý – 20177, 20177-LI, fialový – 20174, oranžový – 20173, 20173-LI</w:t>
            </w:r>
          </w:p>
          <w:p>
            <w:pPr>
              <w:pStyle w:val="Normal"/>
              <w:tabs>
                <w:tab w:val="clear" w:pos="709"/>
                <w:tab w:val="center" w:pos="4286" w:leader="none"/>
              </w:tabs>
              <w:spacing w:lineRule="auto" w:line="240" w:before="0" w:after="4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1.2 Relevantní označení produktu:</w:t>
            </w:r>
          </w:p>
          <w:p>
            <w:pPr>
              <w:pStyle w:val="Normal"/>
              <w:spacing w:lineRule="auto" w:line="242" w:before="0" w:after="116"/>
              <w:ind w:left="566" w:right="4037" w:hanging="139"/>
              <w:rPr/>
            </w:pPr>
            <w:r>
              <w:rPr>
                <w:rFonts w:eastAsia="Arial" w:cs="Arial" w:ascii="Arial" w:hAnsi="Arial"/>
                <w:sz w:val="20"/>
              </w:rPr>
              <w:t xml:space="preserve">Značkovací spray </w:t>
            </w:r>
            <w:r>
              <w:rPr>
                <w:rFonts w:eastAsia="Arial" w:cs="Arial" w:ascii="Arial" w:hAnsi="Arial"/>
                <w:sz w:val="20"/>
              </w:rPr>
              <w:t>Top Marker</w:t>
            </w:r>
          </w:p>
          <w:p>
            <w:pPr>
              <w:pStyle w:val="Normal"/>
              <w:spacing w:lineRule="auto" w:line="242" w:before="0" w:after="116"/>
              <w:ind w:left="566" w:right="4037" w:hanging="139"/>
              <w:rPr>
                <w:rFonts w:ascii="Arial" w:hAnsi="Arial" w:eastAsia="Arial" w:cs="Arial"/>
                <w:sz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center" w:pos="2747" w:leader="none"/>
              </w:tabs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1.3 </w:t>
              <w:tab/>
              <w:t xml:space="preserve">Podrobné údaje o dodavateli bezpečnostního listu: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Albert Kerbl GmbH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Felizenzell 9 </w:t>
            </w:r>
          </w:p>
          <w:p>
            <w:pPr>
              <w:pStyle w:val="Normal"/>
              <w:spacing w:lineRule="auto" w:line="240" w:before="0" w:after="0"/>
              <w:ind w:left="566" w:right="5761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D-84428 Buchbach www.kerbl.com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Tel.: 0049-(0)8086-933-100 </w:t>
            </w:r>
          </w:p>
          <w:p>
            <w:pPr>
              <w:pStyle w:val="Normal"/>
              <w:spacing w:lineRule="auto" w:line="240" w:before="0" w:after="116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E-Mail: info@kerbl.com </w:t>
            </w:r>
          </w:p>
          <w:p>
            <w:pPr>
              <w:pStyle w:val="Normal"/>
              <w:spacing w:lineRule="auto" w:line="247" w:before="0" w:after="0"/>
              <w:ind w:left="567" w:right="5069" w:hanging="142"/>
              <w:jc w:val="both"/>
              <w:rPr>
                <w:rFonts w:ascii="Arial" w:hAnsi="Arial"/>
              </w:rPr>
            </w:pPr>
            <w:r>
              <w:rPr>
                <w:rFonts w:eastAsia="Segoe UI Symbol" w:cs="Segoe UI Symbol" w:ascii="Arial" w:hAnsi="Arial"/>
                <w:b/>
                <w:sz w:val="20"/>
              </w:rPr>
              <w:t>O</w:t>
            </w:r>
            <w:r>
              <w:rPr>
                <w:rFonts w:eastAsia="Segoe UI Symbol" w:cs="Segoe UI Symbol" w:ascii="Arial" w:hAnsi="Arial"/>
                <w:b/>
                <w:sz w:val="20"/>
              </w:rPr>
              <w:t xml:space="preserve">bchodní jméno dovozce do </w:t>
            </w:r>
            <w:r>
              <w:rPr>
                <w:rFonts w:eastAsia="Arial" w:cs="Arial" w:ascii="Arial" w:hAnsi="Arial"/>
                <w:b/>
                <w:sz w:val="20"/>
              </w:rPr>
              <w:t>ČR:</w:t>
            </w:r>
          </w:p>
          <w:p>
            <w:pPr>
              <w:pStyle w:val="Normal"/>
              <w:spacing w:lineRule="auto" w:line="244" w:before="0" w:after="0"/>
              <w:ind w:left="567" w:right="5884" w:hanging="142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  </w:t>
            </w:r>
            <w:r>
              <w:rPr>
                <w:rFonts w:eastAsia="Arial" w:cs="Arial" w:ascii="Arial" w:hAnsi="Arial"/>
                <w:b w:val="false"/>
                <w:bCs w:val="false"/>
                <w:sz w:val="20"/>
              </w:rPr>
              <w:t xml:space="preserve">Ketris, spol. s r.o.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Tel.: 00420 775 760 992 </w:t>
            </w:r>
          </w:p>
          <w:p>
            <w:pPr>
              <w:pStyle w:val="Normal"/>
              <w:spacing w:lineRule="auto" w:line="240" w:before="0" w:after="0"/>
              <w:ind w:left="566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E-Mail: </w:t>
            </w:r>
            <w:hyperlink r:id="rId3">
              <w:r>
                <w:rPr>
                  <w:rStyle w:val="Internetovodkaz"/>
                  <w:rFonts w:eastAsia="Arial" w:cs="Arial" w:ascii="Arial" w:hAnsi="Arial"/>
                  <w:sz w:val="20"/>
                </w:rPr>
                <w:t>ketris@ketris.cz</w:t>
              </w:r>
            </w:hyperlink>
          </w:p>
          <w:p>
            <w:pPr>
              <w:pStyle w:val="Normal"/>
              <w:spacing w:lineRule="auto" w:line="240" w:before="0" w:after="0"/>
              <w:ind w:left="566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www: ketris.cz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center" w:pos="2031" w:leader="none"/>
              </w:tabs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1.4 </w:t>
              <w:tab/>
              <w:t xml:space="preserve">Telefonní číslo pro naléhavé situace: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40" w:after="40"/>
              <w:ind w:left="0" w:hanging="0"/>
              <w:rPr>
                <w:i/>
                <w:i/>
              </w:rPr>
            </w:pPr>
            <w:r>
              <w:rPr>
                <w:i/>
              </w:rPr>
              <w:t>Toxikologické informační středisko (TIS), Klinika nemocí z povolání, Na Bojišti 1, 128 08  Praha 2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40" w:after="40"/>
              <w:ind w:left="0" w:hanging="0"/>
              <w:rPr>
                <w:i/>
                <w:i/>
              </w:rPr>
            </w:pPr>
            <w:r>
              <w:rPr>
                <w:i/>
              </w:rPr>
              <w:t>Telefon nepřetržitě: 224919293 nebo 224915402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  <w:tr>
        <w:trPr>
          <w:trHeight w:val="5146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73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73"/>
            </w:tblGrid>
            <w:tr>
              <w:trPr>
                <w:trHeight w:val="317" w:hRule="atLeast"/>
              </w:trPr>
              <w:tc>
                <w:tcPr>
                  <w:tcW w:w="9273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2 Identifikace nebezpečnosti                                                                                    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2554" w:leader="none"/>
              </w:tabs>
              <w:spacing w:lineRule="auto" w:line="240" w:before="0" w:after="11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2.1 Klasifikace směsi podle zákona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(EC) č.. 1272/2008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Aerosol: Aerosol 1 (H222, H229)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Vážné poškození očí: 2 (H319) </w:t>
            </w:r>
          </w:p>
          <w:p>
            <w:pPr>
              <w:pStyle w:val="Normal"/>
              <w:spacing w:lineRule="auto" w:line="240" w:before="0" w:after="115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Toxicit: STOT SE 3 (H336) </w:t>
            </w:r>
          </w:p>
          <w:p>
            <w:pPr>
              <w:pStyle w:val="Normal"/>
              <w:spacing w:lineRule="auto" w:line="240" w:before="0" w:after="115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>Aquatic Chronic 3 (H412)</w:t>
            </w:r>
          </w:p>
          <w:p>
            <w:pPr>
              <w:pStyle w:val="Normal"/>
              <w:tabs>
                <w:tab w:val="clear" w:pos="709"/>
                <w:tab w:val="center" w:pos="1287" w:leader="none"/>
              </w:tabs>
              <w:spacing w:lineRule="auto" w:line="240" w:before="0" w:after="11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2.2 </w:t>
              <w:tab/>
              <w:t xml:space="preserve">Prvky označení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Označení podle zákona (EC) č. 1272/2008 (CLP/GHS) </w:t>
            </w:r>
          </w:p>
          <w:p>
            <w:pPr>
              <w:pStyle w:val="Normal"/>
              <w:spacing w:lineRule="auto" w:line="240" w:before="0" w:after="36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</w:rPr>
              <w:t>Výstražné symboly:</w:t>
            </w:r>
          </w:p>
          <w:p>
            <w:pPr>
              <w:pStyle w:val="Normal"/>
              <w:tabs>
                <w:tab w:val="clear" w:pos="709"/>
                <w:tab w:val="center" w:pos="2205" w:leader="none"/>
                <w:tab w:val="center" w:pos="591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/>
              <w:drawing>
                <wp:inline distT="0" distB="0" distL="0" distR="0">
                  <wp:extent cx="1083310" cy="1080135"/>
                  <wp:effectExtent l="0" t="0" r="0" b="0"/>
                  <wp:docPr id="2" name="Picture 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 w:ascii="Arial" w:hAnsi="Arial"/>
                <w:sz w:val="20"/>
              </w:rPr>
              <w:t xml:space="preserve"> Hořlavý (GHS 02)</w:t>
              <w:tab/>
            </w:r>
            <w:r>
              <w:rPr/>
              <w:drawing>
                <wp:inline distT="0" distB="0" distL="0" distR="0">
                  <wp:extent cx="1082040" cy="1080135"/>
                  <wp:effectExtent l="0" t="0" r="0" b="0"/>
                  <wp:docPr id="3" name="Picture 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 w:cs="Arial" w:ascii="Arial" w:hAnsi="Arial"/>
                <w:sz w:val="20"/>
              </w:rPr>
              <w:t xml:space="preserve">Dráždivé (GHS07)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tbl>
      <w:tblPr>
        <w:tblStyle w:val="TableGrid"/>
        <w:tblpPr w:bottomFromText="0" w:horzAnchor="margin" w:leftFromText="0" w:rightFromText="0" w:tblpX="0" w:tblpY="367" w:topFromText="0" w:vertAnchor="text"/>
        <w:tblW w:w="9614" w:type="dxa"/>
        <w:jc w:val="left"/>
        <w:tblInd w:w="0" w:type="dxa"/>
        <w:tblCellMar>
          <w:top w:w="80" w:type="dxa"/>
          <w:left w:w="153" w:type="dxa"/>
          <w:bottom w:w="4" w:type="dxa"/>
          <w:right w:w="115" w:type="dxa"/>
        </w:tblCellMar>
        <w:tblLook w:firstRow="1" w:noVBand="1" w:lastRow="0" w:firstColumn="1" w:lastColumn="0" w:noHBand="0" w:val="04a0"/>
      </w:tblPr>
      <w:tblGrid>
        <w:gridCol w:w="719"/>
        <w:gridCol w:w="8894"/>
      </w:tblGrid>
      <w:tr>
        <w:trPr>
          <w:trHeight w:val="3759" w:hRule="atLeast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894" w:type="dxa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Signální slovo  </w:t>
            </w:r>
          </w:p>
          <w:p>
            <w:pPr>
              <w:pStyle w:val="Normal"/>
              <w:spacing w:lineRule="auto" w:line="240" w:before="0" w:after="101"/>
              <w:rPr/>
            </w:pPr>
            <w:r>
              <w:rPr>
                <w:rFonts w:eastAsia="Arial" w:cs="Arial" w:ascii="Arial" w:hAnsi="Arial"/>
                <w:sz w:val="20"/>
              </w:rPr>
              <w:t>Nebezpeční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Věty o nebezpečnosti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>H220 Extrémně hořlavý plyn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H222 Extrémně hořlavý aerosol.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H229 Nádoba je pod tlakem. Při zahřívání se může roztrhnout.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H319 Způsobuje vážné podráždění očí. </w:t>
            </w:r>
          </w:p>
          <w:p>
            <w:pPr>
              <w:pStyle w:val="Normal"/>
              <w:spacing w:lineRule="auto" w:line="240" w:before="0" w:after="101"/>
              <w:rPr/>
            </w:pPr>
            <w:r>
              <w:rPr>
                <w:rFonts w:eastAsia="Arial" w:cs="Arial" w:ascii="Arial" w:hAnsi="Arial"/>
                <w:sz w:val="20"/>
              </w:rPr>
              <w:t>H336 Může způsobit ospalost nebo závratě.</w:t>
            </w:r>
          </w:p>
          <w:p>
            <w:pPr>
              <w:pStyle w:val="Normal"/>
              <w:spacing w:lineRule="auto" w:line="240" w:before="0" w:after="101"/>
              <w:rPr/>
            </w:pPr>
            <w:r>
              <w:rPr>
                <w:rFonts w:eastAsia="Arial" w:cs="Arial" w:ascii="Arial" w:hAnsi="Arial"/>
                <w:sz w:val="20"/>
              </w:rPr>
              <w:t>H412 Škodlivý pro vodní organismy, s dlouhodobými účinky.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Bezpečnostní pokyny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P102 Uchovejte mimo dosah dětí. </w:t>
            </w:r>
          </w:p>
          <w:p>
            <w:pPr>
              <w:pStyle w:val="Normal"/>
              <w:spacing w:lineRule="auto" w:line="240" w:before="0" w:after="0"/>
              <w:ind w:left="566" w:hanging="566"/>
              <w:rPr/>
            </w:pPr>
            <w:r>
              <w:rPr>
                <w:rFonts w:eastAsia="Arial" w:cs="Arial" w:ascii="Arial" w:hAnsi="Arial"/>
                <w:sz w:val="20"/>
              </w:rPr>
              <w:t xml:space="preserve">P210 Chraňte před teplem, horkými povrchy, jiskrami, otevřeným ohněm a jinými zdroji zapálení, zákaz kouření.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P211 Nevhazujte do otevřeného ohně.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P251 Nepropichujte ani nespalujte ani po použití.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P271 Používejte pouze venku nebo v dobře větratelných místnostech.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P403 Skladujte na dobře větraném místě.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P410+P412 Chraňte před slunečním zářením, nevystavujte teplotě přesahující 50 °C/122 °F. </w:t>
            </w:r>
          </w:p>
        </w:tc>
      </w:tr>
      <w:tr>
        <w:trPr>
          <w:trHeight w:val="69" w:hRule="atLeast"/>
        </w:trPr>
        <w:tc>
          <w:tcPr>
            <w:tcW w:w="71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53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2.3 </w:t>
            </w:r>
          </w:p>
        </w:tc>
        <w:tc>
          <w:tcPr>
            <w:tcW w:w="889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Jiná nebezpečí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>· Žádná</w:t>
            </w:r>
          </w:p>
        </w:tc>
      </w:tr>
      <w:tr>
        <w:trPr>
          <w:trHeight w:val="6299" w:hRule="atLeast"/>
        </w:trPr>
        <w:tc>
          <w:tcPr>
            <w:tcW w:w="9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Style w:val="TableGrid"/>
              <w:tblW w:w="9287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7"/>
            </w:tblGrid>
            <w:tr>
              <w:trPr>
                <w:trHeight w:val="319" w:hRule="atLeast"/>
              </w:trPr>
              <w:tc>
                <w:tcPr>
                  <w:tcW w:w="9287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3 Složení / informace o složkách                                                     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367" w:before="0" w:after="2"/>
              <w:ind w:left="425" w:right="4385" w:firstLine="2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Chemická charakteristika </w:t>
            </w:r>
          </w:p>
          <w:p>
            <w:pPr>
              <w:pStyle w:val="Normal"/>
              <w:spacing w:lineRule="auto" w:line="367" w:before="0" w:after="2"/>
              <w:ind w:left="425" w:right="4385" w:firstLine="2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Nebezpečné látky: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030" w:leader="none"/>
                <w:tab w:val="center" w:pos="3174" w:leader="none"/>
                <w:tab w:val="right" w:pos="934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CAS: 64-17-5 </w:t>
              <w:tab/>
              <w:t xml:space="preserve">Ethanol </w:t>
              <w:tab/>
              <w:t xml:space="preserve">30-60 % </w:t>
            </w:r>
          </w:p>
          <w:p>
            <w:pPr>
              <w:pStyle w:val="Normal"/>
              <w:spacing w:lineRule="auto" w:line="244" w:before="0" w:after="122"/>
              <w:ind w:left="427" w:right="4000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EC-Nr. 200-578-6 </w:t>
              <w:tab/>
              <w:t xml:space="preserve">Flam. Liq. 2, H225 Index-Nr. 603-002-00-5 </w:t>
              <w:tab/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030" w:leader="none"/>
                <w:tab w:val="center" w:pos="3940" w:leader="none"/>
                <w:tab w:val="right" w:pos="934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CAS: 67-63-0 </w:t>
              <w:tab/>
              <w:t xml:space="preserve">2-Propanol (Isopropanol) </w:t>
              <w:tab/>
              <w:t xml:space="preserve">30-60 % </w:t>
            </w:r>
          </w:p>
          <w:p>
            <w:pPr>
              <w:pStyle w:val="Normal"/>
              <w:spacing w:lineRule="auto" w:line="247" w:before="0" w:after="113"/>
              <w:ind w:left="427" w:right="442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EC-Nr. 200-661-7 </w:t>
              <w:tab/>
              <w:t xml:space="preserve">Flam. Liq. 2, H225;   Eye Irrit. 2, H319;   STOT SE 3, H336 Index-Nr. 603-117-00-0 </w:t>
            </w:r>
          </w:p>
          <w:p>
            <w:pPr>
              <w:pStyle w:val="Normal"/>
              <w:tabs>
                <w:tab w:val="clear" w:pos="709"/>
                <w:tab w:val="center" w:pos="1030" w:leader="none"/>
                <w:tab w:val="center" w:pos="3212" w:leader="none"/>
                <w:tab w:val="right" w:pos="934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CAS: 74-98-6 </w:t>
              <w:tab/>
              <w:t xml:space="preserve">Propane </w:t>
              <w:tab/>
              <w:t xml:space="preserve">10-30 % </w:t>
            </w:r>
          </w:p>
          <w:p>
            <w:pPr>
              <w:pStyle w:val="Normal"/>
              <w:spacing w:lineRule="auto" w:line="244" w:before="0" w:after="122"/>
              <w:ind w:left="427" w:right="226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EC-Nr. 200-827-9 </w:t>
              <w:tab/>
              <w:t xml:space="preserve">Flam. Gas 1: H220; Press. Gas: H280 Index-Nr. 601-003-00-5 </w:t>
              <w:tab/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085" w:leader="none"/>
                <w:tab w:val="center" w:pos="3151" w:leader="none"/>
                <w:tab w:val="right" w:pos="934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CAS: 106-97-8 </w:t>
              <w:tab/>
              <w:t xml:space="preserve">Butane </w:t>
              <w:tab/>
              <w:t xml:space="preserve">10-30 % </w:t>
            </w:r>
          </w:p>
          <w:p>
            <w:pPr>
              <w:pStyle w:val="Normal"/>
              <w:spacing w:lineRule="auto" w:line="247" w:before="0" w:after="120"/>
              <w:ind w:left="427" w:right="226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EC-Nr. 203-448-7 </w:t>
              <w:tab/>
              <w:t xml:space="preserve">Flam. Gas 1: H220; Press. Gas: H280 Index-Nr. 601-004-00-0 </w:t>
              <w:tab/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030" w:leader="none"/>
                <w:tab w:val="center" w:pos="3273" w:leader="none"/>
                <w:tab w:val="right" w:pos="934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CAS: 75-28-5 </w:t>
              <w:tab/>
              <w:t xml:space="preserve">Isobutane </w:t>
              <w:tab/>
              <w:t xml:space="preserve">10-30 % </w:t>
            </w:r>
          </w:p>
          <w:p>
            <w:pPr>
              <w:pStyle w:val="Normal"/>
              <w:spacing w:lineRule="auto" w:line="244" w:before="0" w:after="120"/>
              <w:ind w:left="427" w:right="2267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EC-Nr. 200-857-2 </w:t>
              <w:tab/>
              <w:t xml:space="preserve">Flam. Gas 1: H220; Press. Gas: H280 Index-Nr. 601-004-00-0 </w:t>
              <w:tab/>
            </w:r>
          </w:p>
          <w:p>
            <w:pPr>
              <w:pStyle w:val="Normal"/>
              <w:spacing w:lineRule="auto" w:line="244" w:before="0" w:after="120"/>
              <w:ind w:left="427" w:right="2267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Doplňující informace: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Viz kapitola 16.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 </w:t>
      </w:r>
    </w:p>
    <w:p>
      <w:pPr>
        <w:pStyle w:val="Normal"/>
        <w:tabs>
          <w:tab w:val="clear" w:pos="709"/>
          <w:tab w:val="left" w:pos="1875" w:leader="none"/>
        </w:tabs>
        <w:rPr/>
      </w:pPr>
      <w:r>
        <w:rPr/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20"/>
        <w:ind w:right="228" w:hanging="0"/>
        <w:rPr/>
      </w:pPr>
      <w:r>
        <w:rPr/>
        <w:t xml:space="preserve"> </w:t>
      </w:r>
    </w:p>
    <w:tbl>
      <w:tblPr>
        <w:tblStyle w:val="TableGrid"/>
        <w:tblpPr w:bottomFromText="0" w:horzAnchor="margin" w:leftFromText="141" w:rightFromText="141" w:tblpX="0" w:tblpY="-11" w:topFromText="0" w:vertAnchor="text"/>
        <w:tblW w:w="9614" w:type="dxa"/>
        <w:jc w:val="left"/>
        <w:tblInd w:w="0" w:type="dxa"/>
        <w:tblCellMar>
          <w:top w:w="78" w:type="dxa"/>
          <w:left w:w="1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5964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Style w:val="TableGrid"/>
              <w:tblW w:w="9232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32"/>
            </w:tblGrid>
            <w:tr>
              <w:trPr>
                <w:trHeight w:val="319" w:hRule="atLeast"/>
              </w:trPr>
              <w:tc>
                <w:tcPr>
                  <w:tcW w:w="9232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4 Pokyny pro první pomoc                                                                              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 xml:space="preserve">. 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427" w:right="5743" w:hanging="427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4.1 Všeobecné pokyny</w:t>
            </w:r>
          </w:p>
          <w:p>
            <w:pPr>
              <w:pStyle w:val="Normal"/>
              <w:spacing w:lineRule="auto" w:line="240" w:before="0" w:after="0"/>
              <w:ind w:left="427" w:right="124" w:hanging="427"/>
              <w:rPr/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</w:rPr>
              <w:t>· Obecně platí, že v případě pochybností nebo přetrvávajících obtíží, vyhledejte lékařskou pomoc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Při nadýchání:  </w:t>
            </w:r>
          </w:p>
          <w:p>
            <w:pPr>
              <w:pStyle w:val="Normal"/>
              <w:spacing w:lineRule="auto" w:line="237" w:before="0" w:after="5"/>
              <w:ind w:left="427" w:right="833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Zajistit přívod čerstvého vzduchu, případně inhalace kyslíku, při obtížích vyhledat lékaře.</w:t>
            </w:r>
          </w:p>
          <w:p>
            <w:pPr>
              <w:pStyle w:val="Normal"/>
              <w:spacing w:lineRule="auto" w:line="237" w:before="0" w:after="5"/>
              <w:ind w:left="427" w:right="406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Při kontaktu s kůží: </w:t>
            </w:r>
          </w:p>
          <w:p>
            <w:pPr>
              <w:pStyle w:val="Normal"/>
              <w:spacing w:lineRule="auto" w:line="237" w:before="0" w:after="0"/>
              <w:ind w:left="425" w:right="119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Odstranit kontaminované součásti oděvu a kontaminovanou obuv. Ihned omýt vodou a mýdlem a dobře spláchnout. Oděvy prát odděleně před jejich dalším použitím. Při přetrvávajících obtíží se poradit s lékařem.  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Při kontaktu s očima: </w:t>
            </w:r>
          </w:p>
          <w:p>
            <w:pPr>
              <w:pStyle w:val="Normal"/>
              <w:spacing w:lineRule="auto" w:line="237" w:before="0" w:after="0"/>
              <w:ind w:left="425" w:right="119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Otevřené oči po více minut vyplachovat pod tekoucí vodou. Při přetrvávajících obtíží se poradit s lékařem.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Při požití: </w:t>
            </w:r>
          </w:p>
          <w:p>
            <w:pPr>
              <w:pStyle w:val="Normal"/>
              <w:spacing w:lineRule="auto" w:line="240" w:before="0" w:after="118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V případě požití, pokud je množství menší než jeden lok, vypláchnout ústa vodou a případně kontaktovat lékaře. Nenutit ke zvracení, vypláchnout vodou, vypít velké množství vody (pokud není postižený v bezvědomí) ihned vyhledat lékaře. Ukažte toto označení. </w:t>
            </w:r>
          </w:p>
          <w:p>
            <w:pPr>
              <w:pStyle w:val="Normal"/>
              <w:spacing w:lineRule="auto" w:line="242" w:before="0" w:after="113"/>
              <w:ind w:left="427" w:right="2778" w:hanging="427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4.2  Nejdůležitější akutní a opožděné symptony a účinky</w:t>
            </w:r>
          </w:p>
          <w:p>
            <w:pPr>
              <w:pStyle w:val="Normal"/>
              <w:spacing w:lineRule="auto" w:line="242" w:before="0" w:after="113"/>
              <w:ind w:left="427" w:right="2778" w:hanging="427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</w:rPr>
              <w:t>žádná</w:t>
            </w:r>
          </w:p>
          <w:p>
            <w:pPr>
              <w:pStyle w:val="Normal"/>
              <w:spacing w:lineRule="auto" w:line="240" w:before="0" w:after="0"/>
              <w:ind w:left="427" w:right="1299" w:hanging="427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4.3 Pokyn týkající se okamžité lékařské pomoci a zvláštního ošetření: </w:t>
            </w:r>
          </w:p>
          <w:p>
            <w:pPr>
              <w:pStyle w:val="Normal"/>
              <w:spacing w:lineRule="auto" w:line="240" w:before="0" w:after="0"/>
              <w:ind w:left="427" w:right="1299" w:hanging="427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      </w:t>
            </w:r>
            <w:r>
              <w:rPr>
                <w:rFonts w:eastAsia="Arial" w:cs="Arial" w:ascii="Arial" w:hAnsi="Arial"/>
                <w:sz w:val="20"/>
              </w:rPr>
              <w:t>žádné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pPr w:bottomFromText="0" w:horzAnchor="margin" w:leftFromText="141" w:rightFromText="141" w:tblpX="0" w:tblpY="133" w:topFromText="0" w:vertAnchor="text"/>
        <w:tblW w:w="9614" w:type="dxa"/>
        <w:jc w:val="left"/>
        <w:tblInd w:w="0" w:type="dxa"/>
        <w:tblCellMar>
          <w:top w:w="80" w:type="dxa"/>
          <w:left w:w="15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4555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Style w:val="TableGrid"/>
              <w:tblW w:w="928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9"/>
            </w:tblGrid>
            <w:tr>
              <w:trPr>
                <w:trHeight w:val="319" w:hRule="atLeast"/>
              </w:trPr>
              <w:tc>
                <w:tcPr>
                  <w:tcW w:w="928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5 Pokyny k ochraně před ohněm a explozí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5.1  Vhodná hasiva: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V případě požáru haste vodou ve formě rosení, pěnou, víceúčelovým práškem ABC, BC práškem, carbon           dioxide (CO2)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Nevhodná hasiva: </w:t>
            </w:r>
            <w:r>
              <w:rPr>
                <w:rFonts w:eastAsia="Arial" w:cs="Arial" w:ascii="Arial" w:hAnsi="Arial"/>
                <w:sz w:val="20"/>
              </w:rPr>
              <w:t>nehaste vodním proudem z požární hadice.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5.2 Zvláštní nebezpečí: </w:t>
            </w:r>
          </w:p>
          <w:p>
            <w:pPr>
              <w:pStyle w:val="Normal"/>
              <w:spacing w:lineRule="auto" w:line="240" w:before="0" w:after="118"/>
              <w:ind w:left="427" w:right="1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Extrémně hořlavá látka, při pokojové teplotě vytváří výbušné směsi, při termickém rozkladu vznikají nebezpečné hořlavé plyny nebo výpary carbon monoxide (CO), carbon dioxide (CO2)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5.3 Zvláštní ochranné prostředky pro hasiče: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Před zásahem si oblečte ochranný oděv a dýchací přístroj.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W w:w="9614" w:type="dxa"/>
        <w:jc w:val="left"/>
        <w:tblInd w:w="135" w:type="dxa"/>
        <w:tblCellMar>
          <w:top w:w="79" w:type="dxa"/>
          <w:left w:w="15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4831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 </w:t>
            </w: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77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77"/>
            </w:tblGrid>
            <w:tr>
              <w:trPr>
                <w:trHeight w:val="319" w:hRule="atLeast"/>
              </w:trPr>
              <w:tc>
                <w:tcPr>
                  <w:tcW w:w="9277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b/>
                      <w:b/>
                      <w:color w:val="FFFFFF"/>
                      <w:sz w:val="26"/>
                      <w:bdr w:val="single" w:sz="8" w:space="0" w:color="000000"/>
                    </w:rPr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6 Opatření v případě náhodného úniku                                                    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2" w:before="0" w:after="0"/>
              <w:ind w:left="427" w:right="1548" w:hanging="427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6.1 Bezpečnostní opatření ro ochranu osob, ochranné prostředky a nouzové postupy:</w:t>
            </w:r>
          </w:p>
          <w:p>
            <w:pPr>
              <w:pStyle w:val="Normal"/>
              <w:spacing w:lineRule="auto" w:line="240" w:before="0" w:after="115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>Před zásahem si oblékněte ochranný pracovní oděv, gumovou obuv a rukavice. Používat osobní ochranné prostředky. Zamezit kontaktu s látkou, Konzultovat bezpečnostní opatření v bodech 7 a 8.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6.2 Bezpečnostní opatření pro ochranu životního prostředí: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/>
              <w:t xml:space="preserve">Zabraňte proniknutí přípravku do vodních zdrojů. Zabránit kontaminaci povrchových a podzemních vod a půdy. Nesmí se dostat do kanalizace. V případě zasažení kontaktujte příslušné autority.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6.3 Doporučené metody čištění a zneškodnění: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/>
              <w:t>Shromážděte rozptýlenou látku. Použijte materiál vážící kapaliny (např. písek křemelina, kyseliny nebo jiné univerzální vazače). Zajistěte dostatečné větrání.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6.4 Odkaz na jiné oddíly: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         </w:t>
            </w:r>
            <w:r>
              <w:rPr/>
              <w:t>Viz body 7,8,13 tohoto bezpečnostního listu</w:t>
            </w:r>
          </w:p>
        </w:tc>
      </w:tr>
      <w:tr>
        <w:trPr>
          <w:trHeight w:val="5956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Style w:val="TableGrid"/>
              <w:tblW w:w="922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29"/>
            </w:tblGrid>
            <w:tr>
              <w:trPr>
                <w:trHeight w:val="319" w:hRule="atLeast"/>
              </w:trPr>
              <w:tc>
                <w:tcPr>
                  <w:tcW w:w="922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7 Zacházení a skladování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br/>
            </w:r>
            <w:r>
              <w:rPr>
                <w:b/>
              </w:rPr>
              <w:t>7.1 Zacházení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        </w:t>
            </w:r>
            <w:r>
              <w:rPr/>
              <w:t>Po práci si umyjte nezakryté části těla vodou a mýdlem. Zacházení s tímto přípravkem svěřte pouze    osobě, která je dobře informovaná o nebezpečnosti této látky. Ochranné pomůcky viz bod 8. Ujistěte se, že místnost je dostatečně větrána. Nekuřte.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 xml:space="preserve">Upozornění k ochraně před ohněm a explozí: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Chránit před horkem. Ochraňujte před teplotami vyššími než 50°C. Neotvírejte silou a nezapalujte. Nevhazujte po použití do ohně. Nádoba je pod tlakem.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7.2 Skladování: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Přípravek skladujte v originálních obalech, v suchých, tmavých a uzamykatelných skladech. Uskladnění i transport provádějte odděleně od poživatin, léků, krmiv, dezinfekčních látek a jejich obalů. Skladovací teplota 5 – 30°C.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7.3  Specifické konečné použití: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Skladujte mimo dosah dětí.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W w:w="19228" w:type="dxa"/>
        <w:jc w:val="left"/>
        <w:tblInd w:w="135" w:type="dxa"/>
        <w:tblCellMar>
          <w:top w:w="80" w:type="dxa"/>
          <w:left w:w="1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4"/>
        <w:gridCol w:w="9613"/>
      </w:tblGrid>
      <w:tr>
        <w:trPr>
          <w:trHeight w:val="6588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58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58"/>
            </w:tblGrid>
            <w:tr>
              <w:trPr>
                <w:trHeight w:val="319" w:hRule="atLeast"/>
              </w:trPr>
              <w:tc>
                <w:tcPr>
                  <w:tcW w:w="9258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8 Kontrola expozice a ochrana osob                                                       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103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8.1 Expoziční limity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818" w:leader="none"/>
                <w:tab w:val="center" w:pos="499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Occupational exposure limits </w:t>
              <w:tab/>
              <w:t xml:space="preserve">Exposure </w:t>
            </w:r>
          </w:p>
          <w:p>
            <w:pPr>
              <w:pStyle w:val="Normal"/>
              <w:tabs>
                <w:tab w:val="clear" w:pos="709"/>
                <w:tab w:val="center" w:pos="425" w:leader="none"/>
                <w:tab w:val="center" w:pos="3217" w:leader="none"/>
                <w:tab w:val="center" w:pos="4741" w:leader="none"/>
                <w:tab w:val="center" w:pos="5938" w:leader="none"/>
                <w:tab w:val="center" w:pos="6821" w:leader="none"/>
                <w:tab w:val="center" w:pos="7793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 xml:space="preserve"> </w:t>
              <w:tab/>
              <w:t xml:space="preserve">Country </w:t>
              <w:tab/>
              <w:t xml:space="preserve">limit </w:t>
              <w:tab/>
              <w:t xml:space="preserve">ml/m³ </w:t>
              <w:tab/>
              <w:t xml:space="preserve">mg/m³ </w:t>
              <w:tab/>
              <w:t>Remarks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1165" w:leader="none"/>
                <w:tab w:val="center" w:pos="3434" w:leader="none"/>
                <w:tab w:val="center" w:pos="4772" w:leader="none"/>
                <w:tab w:val="center" w:pos="5838" w:leader="none"/>
                <w:tab w:val="center" w:pos="6688" w:leader="none"/>
                <w:tab w:val="center" w:pos="791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64-17-5 Ethanol  </w:t>
              <w:tab/>
              <w:t xml:space="preserve">D, TRGS 900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AGW  </w:t>
              <w:tab/>
              <w:t xml:space="preserve">500 </w:t>
              <w:tab/>
              <w:t xml:space="preserve">960  </w:t>
              <w:tab/>
              <w:t xml:space="preserve">2(II);DFG, Y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256" w:leader="none"/>
                <w:tab w:val="center" w:pos="4761" w:leader="none"/>
                <w:tab w:val="center" w:pos="5893" w:leader="none"/>
                <w:tab w:val="center" w:pos="6743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>UK, WEL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TWA </w:t>
              <w:tab/>
              <w:t xml:space="preserve">1000 </w:t>
              <w:tab/>
              <w:t xml:space="preserve">1920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189" w:leader="none"/>
                <w:tab w:val="center" w:pos="4753" w:leader="none"/>
                <w:tab w:val="center" w:pos="5893" w:leader="none"/>
                <w:tab w:val="center" w:pos="6743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>F, INRS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VME </w:t>
              <w:tab/>
              <w:t xml:space="preserve">1000 </w:t>
              <w:tab/>
              <w:t xml:space="preserve">1900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2835" w:leader="none"/>
                <w:tab w:val="center" w:pos="4725" w:leader="none"/>
                <w:tab w:val="center" w:pos="5893" w:leader="none"/>
                <w:tab w:val="center" w:pos="6743" w:leader="none"/>
                <w:tab w:val="center" w:pos="767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 xml:space="preserve">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VLE </w:t>
              <w:tab/>
              <w:t xml:space="preserve">5000 </w:t>
              <w:tab/>
              <w:t xml:space="preserve">9500 </w:t>
              <w:tab/>
              <w:t xml:space="preserve">15 min </w:t>
            </w:r>
          </w:p>
          <w:p>
            <w:pPr>
              <w:pStyle w:val="Normal"/>
              <w:tabs>
                <w:tab w:val="clear" w:pos="709"/>
                <w:tab w:val="center" w:pos="1137" w:leader="none"/>
                <w:tab w:val="center" w:pos="3434" w:leader="none"/>
                <w:tab w:val="center" w:pos="4772" w:leader="none"/>
                <w:tab w:val="center" w:pos="5893" w:leader="none"/>
                <w:tab w:val="center" w:pos="6743" w:leader="none"/>
                <w:tab w:val="center" w:pos="7787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106-97-8 Butan  </w:t>
              <w:tab/>
              <w:t xml:space="preserve">D, TRGS 900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AGW  </w:t>
              <w:tab/>
              <w:t xml:space="preserve">1000 </w:t>
              <w:tab/>
              <w:t xml:space="preserve">2400  </w:t>
              <w:tab/>
              <w:t xml:space="preserve">4(II);DFG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256" w:leader="none"/>
                <w:tab w:val="center" w:pos="4761" w:leader="none"/>
                <w:tab w:val="center" w:pos="5838" w:leader="none"/>
                <w:tab w:val="center" w:pos="6743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>UK, WEL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TWA </w:t>
              <w:tab/>
              <w:t xml:space="preserve">600 </w:t>
              <w:tab/>
              <w:t xml:space="preserve">1450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2835" w:leader="none"/>
                <w:tab w:val="center" w:pos="4786" w:leader="none"/>
                <w:tab w:val="center" w:pos="5838" w:leader="none"/>
                <w:tab w:val="center" w:pos="6743" w:leader="none"/>
                <w:tab w:val="center" w:pos="767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 </w:t>
              <w:tab/>
              <w:t xml:space="preserve">STEL </w:t>
              <w:tab/>
              <w:t xml:space="preserve">750 </w:t>
              <w:tab/>
              <w:t xml:space="preserve">1810 </w:t>
              <w:tab/>
              <w:t xml:space="preserve">15 min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189" w:leader="none"/>
                <w:tab w:val="center" w:pos="4753" w:leader="none"/>
                <w:tab w:val="center" w:pos="5838" w:leader="none"/>
                <w:tab w:val="center" w:pos="6743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</w:r>
            <w:r>
              <w:rPr>
                <w:rFonts w:eastAsia="Arial" w:cs="Arial" w:ascii="Arial" w:hAnsi="Arial"/>
                <w:b/>
                <w:sz w:val="20"/>
              </w:rPr>
              <w:t>F, INRS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VME </w:t>
              <w:tab/>
              <w:t xml:space="preserve">800 </w:t>
              <w:tab/>
              <w:t xml:space="preserve">1900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1355" w:leader="none"/>
                <w:tab w:val="center" w:pos="3434" w:leader="none"/>
                <w:tab w:val="center" w:pos="4772" w:leader="none"/>
                <w:tab w:val="center" w:pos="5838" w:leader="none"/>
                <w:tab w:val="center" w:pos="6688" w:leader="none"/>
                <w:tab w:val="center" w:pos="7910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67-63-0 Propan-2-ol  </w:t>
              <w:tab/>
              <w:t xml:space="preserve">D, TRGS 900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AGW  </w:t>
              <w:tab/>
              <w:t xml:space="preserve">200 </w:t>
              <w:tab/>
              <w:t xml:space="preserve">500  </w:t>
              <w:tab/>
              <w:t xml:space="preserve">2(II);DFG, Y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256" w:leader="none"/>
                <w:tab w:val="center" w:pos="4761" w:leader="none"/>
                <w:tab w:val="center" w:pos="5838" w:leader="none"/>
                <w:tab w:val="center" w:pos="6688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>UK, WEL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TWA </w:t>
              <w:tab/>
              <w:t xml:space="preserve">400 </w:t>
              <w:tab/>
              <w:t xml:space="preserve">999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2835" w:leader="none"/>
                <w:tab w:val="center" w:pos="4786" w:leader="none"/>
                <w:tab w:val="center" w:pos="5838" w:leader="none"/>
                <w:tab w:val="center" w:pos="6743" w:leader="none"/>
                <w:tab w:val="center" w:pos="767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 </w:t>
              <w:tab/>
              <w:t xml:space="preserve">STEL </w:t>
              <w:tab/>
              <w:t xml:space="preserve">500 </w:t>
              <w:tab/>
              <w:t xml:space="preserve">1250 </w:t>
              <w:tab/>
              <w:t xml:space="preserve">15 min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189" w:leader="none"/>
                <w:tab w:val="center" w:pos="4725" w:leader="none"/>
                <w:tab w:val="center" w:pos="5838" w:leader="none"/>
                <w:tab w:val="center" w:pos="6688" w:leader="none"/>
                <w:tab w:val="center" w:pos="767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</w:r>
            <w:r>
              <w:rPr>
                <w:rFonts w:eastAsia="Arial" w:cs="Arial" w:ascii="Arial" w:hAnsi="Arial"/>
                <w:b/>
                <w:sz w:val="20"/>
              </w:rPr>
              <w:t>F, INRS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VLE </w:t>
              <w:tab/>
              <w:t xml:space="preserve">400 </w:t>
              <w:tab/>
              <w:t xml:space="preserve">980 </w:t>
              <w:tab/>
              <w:t xml:space="preserve">15 min </w:t>
            </w:r>
          </w:p>
          <w:p>
            <w:pPr>
              <w:pStyle w:val="Normal"/>
              <w:tabs>
                <w:tab w:val="clear" w:pos="709"/>
                <w:tab w:val="center" w:pos="1143" w:leader="none"/>
                <w:tab w:val="center" w:pos="3434" w:leader="none"/>
                <w:tab w:val="center" w:pos="4772" w:leader="none"/>
                <w:tab w:val="center" w:pos="5893" w:leader="none"/>
                <w:tab w:val="center" w:pos="6743" w:leader="none"/>
                <w:tab w:val="center" w:pos="7787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74-98-6 Propan </w:t>
              <w:tab/>
              <w:t xml:space="preserve">D, TRGS 900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AGW  </w:t>
              <w:tab/>
              <w:t xml:space="preserve">1000 </w:t>
              <w:tab/>
              <w:t xml:space="preserve">1800  </w:t>
              <w:tab/>
              <w:t xml:space="preserve">4(II);DFG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3256" w:leader="none"/>
                <w:tab w:val="center" w:pos="4761" w:leader="none"/>
                <w:tab w:val="center" w:pos="5893" w:leader="none"/>
                <w:tab w:val="center" w:pos="6743" w:leader="none"/>
                <w:tab w:val="center" w:pos="750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  <w:t>UK, WEL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TWA </w:t>
              <w:tab/>
              <w:t xml:space="preserve">1000 </w:t>
              <w:tab/>
              <w:t xml:space="preserve">1800 </w:t>
              <w:tab/>
              <w:t xml:space="preserve">8 h </w:t>
            </w:r>
          </w:p>
          <w:p>
            <w:pPr>
              <w:pStyle w:val="Normal"/>
              <w:tabs>
                <w:tab w:val="clear" w:pos="709"/>
                <w:tab w:val="center" w:pos="1212" w:leader="none"/>
                <w:tab w:val="center" w:pos="3434" w:leader="none"/>
                <w:tab w:val="center" w:pos="4772" w:leader="none"/>
                <w:tab w:val="center" w:pos="5893" w:leader="none"/>
                <w:tab w:val="center" w:pos="6743" w:leader="none"/>
                <w:tab w:val="center" w:pos="7787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75-28-5 Isobutan  </w:t>
              <w:tab/>
              <w:t xml:space="preserve">D, TRGS 900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AGW  </w:t>
              <w:tab/>
              <w:t xml:space="preserve">1000 </w:t>
              <w:tab/>
              <w:t xml:space="preserve">2400  </w:t>
              <w:tab/>
              <w:t xml:space="preserve">4(II);DFG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2"/>
              <w:ind w:left="427" w:hanging="2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Biological limits               Country                mg/l                   Remarks                                             .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67-63-0 Propan-2-ol         D, TRGS 903          </w:t>
            </w:r>
            <w:r>
              <w:rPr>
                <w:rFonts w:eastAsia="Arial" w:cs="Arial" w:ascii="Arial" w:hAnsi="Arial"/>
                <w:sz w:val="20"/>
              </w:rPr>
              <w:t xml:space="preserve">25                Acetone, Blood, end of shift/exposure </w:t>
            </w:r>
          </w:p>
          <w:p>
            <w:pPr>
              <w:pStyle w:val="Normal"/>
              <w:tabs>
                <w:tab w:val="clear" w:pos="709"/>
                <w:tab w:val="center" w:pos="427" w:leader="none"/>
                <w:tab w:val="center" w:pos="2835" w:leader="none"/>
                <w:tab w:val="center" w:pos="4647" w:leader="none"/>
                <w:tab w:val="center" w:pos="7315" w:leader="none"/>
              </w:tabs>
              <w:spacing w:lineRule="auto" w:line="240" w:before="0" w:after="108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 </w:t>
              <w:tab/>
              <w:t xml:space="preserve">25 </w:t>
              <w:tab/>
              <w:t xml:space="preserve">Acetone, Urine, end of shift/exposure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8.2 Omezování expozice: 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Zabezpečit odsávání nebo místní větrání. Dodržovat pracovní hygienu, při práci nejíst, nepít a nekouřit. Použijte ochranné pomůcky. Uchovávejte ochranné pomůcky na čistém místě a mimo pracovní místo. Nejezte, nepijte ani nekuřte během používání. Před opětovným použitím oblečení jej vyperte.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Ochrana očí a obličeje: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Zamezte kontaktu s očima. Uzavřené brýle, které jsou zabezpečeny proti vstříknutí. V případě velkého nebezpečí použijte ochranný štít. Dioptrické brýle neslouží jako ochranná pomůcka.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Ochrana kůže: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Vhodný ochranný oděv (antistatický), pracovní obuv.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Ochrana rukou: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Noste vhodné ochranné rukavice (Butylkaučuk: tloušťka vrstvy 0,7 mm, doba iniciace /30min). Ochranné rukavice dle ČSN EN 374. Výběr rukavic proveďte podle času průniku, permeability a degradace. Materiál rukavic Nitrilkaučuk. Odolnost vůči organickým rozpouštědlům, ropným produktům a mazivům je většinou časově omezená a je třeba ji pro jednotlivé situace vyzkoušet. Je nutno u výrobce zjistit a dodržovat časy průniku materiálem ochranných rukavic.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Ochrana dýchacích cest: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V případě nízké ventilace prostoru použijte respirátor nebo masku s filtrem typu A proti organickým parám, popř. autonomní dýchací přístroj.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Omezování expozice životního prostředí: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>Nezjištěno</w:t>
            </w:r>
          </w:p>
          <w:p>
            <w:pPr>
              <w:pStyle w:val="Normal"/>
              <w:spacing w:lineRule="auto" w:line="240" w:before="0" w:after="0"/>
              <w:ind w:left="425" w:hanging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/>
            </w:r>
          </w:p>
        </w:tc>
        <w:tc>
          <w:tcPr>
            <w:tcW w:w="9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989" w:right="1104" w:header="708" w:top="765" w:footer="0" w:bottom="1163" w:gutter="0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spacing w:before="0" w:after="0"/>
        <w:ind w:left="428" w:hanging="0"/>
        <w:rPr/>
      </w:pPr>
      <w:r>
        <w:rPr/>
        <w:t xml:space="preserve"> </w:t>
      </w:r>
      <w:r>
        <w:rPr/>
        <w:tab/>
        <w:t xml:space="preserve"> </w:t>
      </w:r>
    </w:p>
    <w:tbl>
      <w:tblPr>
        <w:tblStyle w:val="TableGrid"/>
        <w:tblpPr w:bottomFromText="0" w:horzAnchor="text" w:leftFromText="141" w:rightFromText="141" w:tblpX="0" w:tblpY="-40" w:topFromText="0" w:vertAnchor="text"/>
        <w:tblW w:w="9614" w:type="dxa"/>
        <w:jc w:val="left"/>
        <w:tblInd w:w="0" w:type="dxa"/>
        <w:tblCellMar>
          <w:top w:w="80" w:type="dxa"/>
          <w:left w:w="153" w:type="dxa"/>
          <w:bottom w:w="0" w:type="dxa"/>
          <w:right w:w="49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9788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Style w:val="TableGrid"/>
              <w:tblW w:w="924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49"/>
            </w:tblGrid>
            <w:tr>
              <w:trPr>
                <w:trHeight w:val="319" w:hRule="atLeast"/>
              </w:trPr>
              <w:tc>
                <w:tcPr>
                  <w:tcW w:w="924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9 Fyzikální a chemické vlastnosti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302" w:before="0" w:after="0"/>
              <w:ind w:left="425" w:right="2627" w:hanging="425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9.1 Informace o základních fyzikálních a chemických vlastnostech</w:t>
            </w:r>
          </w:p>
          <w:p>
            <w:pPr>
              <w:pStyle w:val="Normal"/>
              <w:spacing w:lineRule="auto" w:line="302" w:before="0" w:after="0"/>
              <w:ind w:left="425" w:right="3683" w:hanging="425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General Information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Appearence: </w:t>
            </w:r>
          </w:p>
          <w:p>
            <w:pPr>
              <w:pStyle w:val="Normal"/>
              <w:tabs>
                <w:tab w:val="clear" w:pos="709"/>
                <w:tab w:val="center" w:pos="990" w:leader="none"/>
                <w:tab w:val="center" w:pos="5158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Form: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Aerosol </w:t>
            </w:r>
          </w:p>
          <w:p>
            <w:pPr>
              <w:pStyle w:val="Normal"/>
              <w:tabs>
                <w:tab w:val="clear" w:pos="709"/>
                <w:tab w:val="center" w:pos="1063" w:leader="none"/>
                <w:tab w:val="center" w:pos="6182" w:leader="none"/>
              </w:tabs>
              <w:spacing w:lineRule="auto" w:line="240" w:before="0" w:after="47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Colour: </w:t>
              <w:tab/>
              <w:t xml:space="preserve">           </w:t>
            </w:r>
            <w:r>
              <w:rPr>
                <w:rFonts w:eastAsia="Arial" w:cs="Arial" w:ascii="Arial" w:hAnsi="Arial"/>
                <w:sz w:val="20"/>
              </w:rPr>
              <w:t xml:space="preserve">green, </w:t>
            </w:r>
            <w:r>
              <w:rPr>
                <w:rFonts w:eastAsia="Arial" w:cs="Arial" w:ascii="Arial" w:hAnsi="Arial"/>
                <w:sz w:val="20"/>
              </w:rPr>
              <w:t>bleu,</w:t>
            </w:r>
            <w:r>
              <w:rPr>
                <w:rFonts w:eastAsia="Arial" w:cs="Arial" w:ascii="Arial" w:hAnsi="Arial"/>
                <w:sz w:val="20"/>
              </w:rPr>
              <w:t xml:space="preserve"> red… (see Product name) </w:t>
            </w:r>
          </w:p>
          <w:p>
            <w:pPr>
              <w:pStyle w:val="Normal"/>
              <w:tabs>
                <w:tab w:val="clear" w:pos="709"/>
                <w:tab w:val="center" w:pos="819" w:leader="none"/>
                <w:tab w:val="center" w:pos="5147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Odour: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Alcohol </w:t>
            </w:r>
          </w:p>
          <w:p>
            <w:pPr>
              <w:pStyle w:val="Normal"/>
              <w:tabs>
                <w:tab w:val="clear" w:pos="709"/>
                <w:tab w:val="center" w:pos="1295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Smell Threshold: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652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pH: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Change of state </w:t>
            </w:r>
          </w:p>
          <w:p>
            <w:pPr>
              <w:pStyle w:val="Normal"/>
              <w:tabs>
                <w:tab w:val="clear" w:pos="709"/>
                <w:tab w:val="center" w:pos="1663" w:leader="none"/>
                <w:tab w:val="center" w:pos="5340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Melting point/range: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relevant </w:t>
            </w:r>
          </w:p>
          <w:p>
            <w:pPr>
              <w:pStyle w:val="Normal"/>
              <w:tabs>
                <w:tab w:val="clear" w:pos="709"/>
                <w:tab w:val="center" w:pos="1651" w:leader="none"/>
                <w:tab w:val="center" w:pos="692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Boiling point/range: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-42,1/-11,7/-0,5 °C (Propane/Isobutane/Butane) </w:t>
            </w:r>
          </w:p>
          <w:p>
            <w:pPr>
              <w:pStyle w:val="Normal"/>
              <w:tabs>
                <w:tab w:val="clear" w:pos="709"/>
                <w:tab w:val="center" w:pos="1052" w:leader="none"/>
                <w:tab w:val="center" w:pos="6786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Flash point: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-104/-83/-60 °C (Propane/Isobutane/Butane) </w:t>
            </w:r>
          </w:p>
          <w:p>
            <w:pPr>
              <w:pStyle w:val="Normal"/>
              <w:tabs>
                <w:tab w:val="clear" w:pos="709"/>
                <w:tab w:val="center" w:pos="1685" w:leader="none"/>
                <w:tab w:val="center" w:pos="543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Flammability (solid, gas):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applicable </w:t>
            </w:r>
          </w:p>
          <w:p>
            <w:pPr>
              <w:pStyle w:val="Normal"/>
              <w:tabs>
                <w:tab w:val="clear" w:pos="709"/>
                <w:tab w:val="center" w:pos="1485" w:leader="none"/>
                <w:tab w:val="center" w:pos="6797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Ignition temperature: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450/460/365 °C (Propane/Isobutane/Butane) </w:t>
            </w:r>
          </w:p>
          <w:p>
            <w:pPr>
              <w:pStyle w:val="Normal"/>
              <w:tabs>
                <w:tab w:val="clear" w:pos="709"/>
                <w:tab w:val="center" w:pos="1645" w:leader="none"/>
                <w:tab w:val="center" w:pos="5340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Thermal decomposition: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relevant </w:t>
            </w:r>
          </w:p>
          <w:p>
            <w:pPr>
              <w:pStyle w:val="Normal"/>
              <w:tabs>
                <w:tab w:val="clear" w:pos="709"/>
                <w:tab w:val="center" w:pos="1417" w:leader="none"/>
                <w:tab w:val="center" w:pos="5637" w:leader="none"/>
              </w:tabs>
              <w:spacing w:lineRule="auto" w:line="240" w:before="0" w:after="47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Autoinflammability: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self-flammable </w:t>
            </w:r>
          </w:p>
          <w:p>
            <w:pPr>
              <w:pStyle w:val="Normal"/>
              <w:tabs>
                <w:tab w:val="clear" w:pos="709"/>
                <w:tab w:val="center" w:pos="1345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Explosion hazard: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Explosion limits: </w:t>
            </w:r>
          </w:p>
          <w:p>
            <w:pPr>
              <w:pStyle w:val="Normal"/>
              <w:tabs>
                <w:tab w:val="clear" w:pos="709"/>
                <w:tab w:val="center" w:pos="1036" w:leader="none"/>
                <w:tab w:val="center" w:pos="6897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Lower: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1,7/1,5/1,4 Vol.-% (Propane/Isobutane/Butane) </w:t>
            </w:r>
          </w:p>
          <w:p>
            <w:pPr>
              <w:pStyle w:val="Normal"/>
              <w:tabs>
                <w:tab w:val="clear" w:pos="709"/>
                <w:tab w:val="center" w:pos="1029" w:leader="none"/>
                <w:tab w:val="center" w:pos="6952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Upper: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10,8/9,4/9,4 Vol.-% (Propane/Isobutane/Butane) </w:t>
            </w:r>
          </w:p>
          <w:p>
            <w:pPr>
              <w:pStyle w:val="Normal"/>
              <w:tabs>
                <w:tab w:val="clear" w:pos="709"/>
                <w:tab w:val="center" w:pos="1709" w:leader="none"/>
                <w:tab w:val="center" w:pos="6913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Vapour pressure at 20 °C: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8,33/3,02/2,08 bar (Propane/Isobutane/Butane) </w:t>
            </w:r>
          </w:p>
          <w:p>
            <w:pPr>
              <w:pStyle w:val="Normal"/>
              <w:tabs>
                <w:tab w:val="clear" w:pos="709"/>
                <w:tab w:val="center" w:pos="879" w:leader="none"/>
                <w:tab w:val="center" w:pos="5485" w:leader="none"/>
              </w:tabs>
              <w:spacing w:lineRule="auto" w:line="240" w:before="0" w:after="47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Density: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1082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Bulk density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1211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Vapour density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1277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Evaporation rate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Solubility / miscibility </w:t>
            </w:r>
          </w:p>
          <w:p>
            <w:pPr>
              <w:pStyle w:val="Normal"/>
              <w:tabs>
                <w:tab w:val="clear" w:pos="709"/>
                <w:tab w:val="center" w:pos="1019" w:leader="none"/>
                <w:tab w:val="center" w:pos="5696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Water: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or little miscible. </w:t>
            </w:r>
          </w:p>
          <w:p>
            <w:pPr>
              <w:pStyle w:val="Normal"/>
              <w:tabs>
                <w:tab w:val="clear" w:pos="709"/>
                <w:tab w:val="center" w:pos="2318" w:leader="none"/>
                <w:tab w:val="center" w:pos="5485" w:leader="none"/>
              </w:tabs>
              <w:spacing w:lineRule="auto" w:line="240" w:before="0" w:after="47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Partition coefficient (n-Octanol/Water):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957" w:leader="none"/>
                <w:tab w:val="center" w:pos="5485" w:leader="none"/>
              </w:tabs>
              <w:spacing w:lineRule="auto" w:line="240" w:before="0" w:after="5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Viscosity: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not determined </w:t>
            </w:r>
          </w:p>
          <w:p>
            <w:pPr>
              <w:pStyle w:val="Normal"/>
              <w:tabs>
                <w:tab w:val="clear" w:pos="709"/>
                <w:tab w:val="center" w:pos="1457" w:leader="none"/>
                <w:tab w:val="center" w:pos="5485" w:leader="none"/>
              </w:tabs>
              <w:spacing w:lineRule="auto" w:line="240" w:before="0" w:after="11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>Oxidising properties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not determined </w:t>
            </w:r>
          </w:p>
          <w:p>
            <w:pPr>
              <w:pStyle w:val="Normal"/>
              <w:spacing w:lineRule="auto" w:line="240" w:before="0" w:after="22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9.2 Other information </w:t>
            </w:r>
          </w:p>
          <w:p>
            <w:pPr>
              <w:pStyle w:val="Normal"/>
              <w:tabs>
                <w:tab w:val="clear" w:pos="709"/>
                <w:tab w:val="center" w:pos="1224" w:leader="none"/>
                <w:tab w:val="center" w:pos="3020" w:leader="none"/>
              </w:tabs>
              <w:spacing w:lineRule="auto" w:line="240" w:before="0" w:after="0"/>
              <w:rPr/>
            </w:pP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eastAsia="Arial" w:cs="Arial" w:ascii="Arial" w:hAnsi="Arial"/>
                <w:sz w:val="20"/>
              </w:rPr>
              <w:t>No data available.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</w:r>
            <w:r>
              <w:rPr>
                <w:sz w:val="34"/>
                <w:vertAlign w:val="superscript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spacing w:before="0" w:after="0"/>
        <w:ind w:left="10" w:right="4063" w:hanging="10"/>
        <w:jc w:val="right"/>
        <w:rPr/>
      </w:pPr>
      <w:r>
        <w:rPr/>
      </w:r>
    </w:p>
    <w:tbl>
      <w:tblPr>
        <w:tblStyle w:val="TableGrid"/>
        <w:tblW w:w="9614" w:type="dxa"/>
        <w:jc w:val="left"/>
        <w:tblInd w:w="135" w:type="dxa"/>
        <w:tblCellMar>
          <w:top w:w="79" w:type="dxa"/>
          <w:left w:w="1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3420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61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61"/>
            </w:tblGrid>
            <w:tr>
              <w:trPr>
                <w:trHeight w:val="317" w:hRule="atLeast"/>
              </w:trPr>
              <w:tc>
                <w:tcPr>
                  <w:tcW w:w="9261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10 Stabilita a reaktivita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43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10.1 Vysoká teplota může způsobit požár nebo explozi. </w:t>
            </w:r>
          </w:p>
          <w:p>
            <w:pPr>
              <w:pStyle w:val="Normal"/>
              <w:spacing w:lineRule="auto" w:line="242" w:before="0" w:after="55"/>
              <w:ind w:left="425" w:right="79" w:hanging="425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10.2 Chemical stability </w:t>
            </w:r>
            <w:r>
              <w:rPr>
                <w:rFonts w:eastAsia="Arial" w:cs="Arial" w:ascii="Arial" w:hAnsi="Arial"/>
                <w:sz w:val="20"/>
              </w:rPr>
              <w:t xml:space="preserve">This mixture is stable under the recommended handling and storage conditions in section 7. </w:t>
            </w:r>
          </w:p>
          <w:p>
            <w:pPr>
              <w:pStyle w:val="Normal"/>
              <w:spacing w:lineRule="auto" w:line="242" w:before="0" w:after="53"/>
              <w:ind w:left="425" w:hanging="425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10.3 Possibility of hazardous reactions </w:t>
            </w:r>
            <w:r>
              <w:rPr>
                <w:rFonts w:eastAsia="Arial" w:cs="Arial" w:ascii="Arial" w:hAnsi="Arial"/>
                <w:sz w:val="20"/>
              </w:rPr>
              <w:t>No hazardous reactions when stored under the recommended handling and storage conditions.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10.4 Conditions to avoid: </w:t>
            </w:r>
          </w:p>
          <w:p>
            <w:pPr>
              <w:pStyle w:val="Normal"/>
              <w:spacing w:lineRule="auto" w:line="240" w:before="0" w:after="41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Sunlight. High temperatures. Keep away from sources of ignition. </w:t>
            </w:r>
          </w:p>
          <w:p>
            <w:pPr>
              <w:pStyle w:val="Normal"/>
              <w:spacing w:lineRule="auto" w:line="240" w:before="0" w:after="43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10.5 Incompatible materials: </w:t>
            </w:r>
            <w:r>
              <w:rPr>
                <w:rFonts w:eastAsia="Arial" w:cs="Arial" w:ascii="Arial" w:hAnsi="Arial"/>
                <w:sz w:val="20"/>
              </w:rPr>
              <w:t xml:space="preserve">Reacts with strong oxidants.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10.6 Hazardous decomposition products: </w:t>
            </w:r>
            <w:r>
              <w:rPr>
                <w:rFonts w:eastAsia="Arial" w:cs="Arial" w:ascii="Arial" w:hAnsi="Arial"/>
                <w:sz w:val="20"/>
              </w:rPr>
              <w:t xml:space="preserve">None when used as intended.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pPr w:bottomFromText="0" w:horzAnchor="text" w:leftFromText="0" w:rightFromText="0" w:tblpX="135" w:tblpY="-7" w:topFromText="0" w:vertAnchor="text"/>
        <w:tblW w:w="9614" w:type="dxa"/>
        <w:jc w:val="left"/>
        <w:tblInd w:w="0" w:type="dxa"/>
        <w:tblCellMar>
          <w:top w:w="80" w:type="dxa"/>
          <w:left w:w="1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7140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2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29"/>
            </w:tblGrid>
            <w:tr>
              <w:trPr>
                <w:trHeight w:val="317" w:hRule="atLeast"/>
              </w:trPr>
              <w:tc>
                <w:tcPr>
                  <w:tcW w:w="922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11 Informace o toxikologických účincích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03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11.1 Akutní toxicita: </w:t>
            </w:r>
          </w:p>
          <w:p>
            <w:pPr>
              <w:pStyle w:val="Normal"/>
              <w:spacing w:lineRule="auto" w:line="240" w:before="0" w:after="43"/>
              <w:ind w:left="566" w:hanging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LD/LC50 hodnoty podle platné klasifikace: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67-63-0</w:t>
            </w:r>
            <w:r>
              <w:rPr>
                <w:rFonts w:eastAsia="Arial" w:cs="Arial" w:ascii="Arial" w:hAnsi="Arial"/>
                <w:sz w:val="20"/>
              </w:rPr>
              <w:t xml:space="preserve"> 2-Propanol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755" w:leader="none"/>
                <w:tab w:val="center" w:pos="1418" w:leader="none"/>
                <w:tab w:val="center" w:pos="2823" w:leader="none"/>
                <w:tab w:val="center" w:pos="4285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Orálně  </w:t>
              <w:tab/>
              <w:t xml:space="preserve"> </w:t>
              <w:tab/>
              <w:t xml:space="preserve">LD-50  </w:t>
              <w:tab/>
              <w:t xml:space="preserve">5,84 mg/kg (potkan) </w:t>
            </w:r>
          </w:p>
          <w:p>
            <w:pPr>
              <w:pStyle w:val="Normal"/>
              <w:tabs>
                <w:tab w:val="clear" w:pos="709"/>
                <w:tab w:val="center" w:pos="890" w:leader="none"/>
                <w:tab w:val="center" w:pos="2823" w:leader="none"/>
                <w:tab w:val="center" w:pos="4417" w:leader="none"/>
              </w:tabs>
              <w:spacing w:lineRule="auto" w:line="240" w:before="0" w:after="0"/>
              <w:rPr/>
            </w:pPr>
            <w:r>
              <w:rPr/>
              <w:tab/>
              <w:t>Dermálně</w:t>
            </w:r>
            <w:r>
              <w:rPr>
                <w:rFonts w:eastAsia="Arial" w:cs="Arial" w:ascii="Arial" w:hAnsi="Arial"/>
                <w:sz w:val="20"/>
              </w:rPr>
              <w:t xml:space="preserve">   </w:t>
              <w:tab/>
              <w:t xml:space="preserve">LD-50  </w:t>
              <w:tab/>
              <w:t xml:space="preserve">16,4 mg/kg (králík) </w:t>
            </w:r>
          </w:p>
          <w:p>
            <w:pPr>
              <w:pStyle w:val="Normal"/>
              <w:tabs>
                <w:tab w:val="clear" w:pos="709"/>
                <w:tab w:val="center" w:pos="999" w:leader="none"/>
                <w:tab w:val="center" w:pos="2823" w:leader="none"/>
                <w:tab w:val="center" w:pos="4370" w:leader="none"/>
              </w:tabs>
              <w:spacing w:lineRule="auto" w:line="240" w:before="0" w:after="108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>Vdechnutí</w:t>
              <w:tab/>
              <w:t xml:space="preserve">LC-50 </w:t>
              <w:tab/>
              <w:t xml:space="preserve">&gt; 10000 mg/l (potkan)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Skin corrosion/irritation: </w:t>
            </w:r>
          </w:p>
          <w:p>
            <w:pPr>
              <w:pStyle w:val="Normal"/>
              <w:spacing w:lineRule="auto" w:line="240" w:before="0" w:after="101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Slight irritation is not ruled out, based on the product composition.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Eye damage/irritation: </w:t>
            </w:r>
          </w:p>
          <w:p>
            <w:pPr>
              <w:pStyle w:val="Normal"/>
              <w:spacing w:lineRule="auto" w:line="240" w:before="0" w:after="98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Causes serious eye irritation. </w:t>
            </w:r>
          </w:p>
          <w:p>
            <w:pPr>
              <w:pStyle w:val="Normal"/>
              <w:spacing w:lineRule="auto" w:line="242" w:before="0" w:after="115"/>
              <w:ind w:left="567" w:right="5548" w:hanging="142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Sensitisation, respiratory or skin: </w:t>
            </w:r>
            <w:r>
              <w:rPr>
                <w:rFonts w:eastAsia="Arial" w:cs="Arial" w:ascii="Arial" w:hAnsi="Arial"/>
                <w:sz w:val="20"/>
              </w:rPr>
              <w:t xml:space="preserve">No sensitizing effects known. </w:t>
            </w:r>
          </w:p>
          <w:p>
            <w:pPr>
              <w:pStyle w:val="Normal"/>
              <w:spacing w:lineRule="auto" w:line="242" w:before="0" w:after="115"/>
              <w:ind w:left="567" w:right="2156" w:hanging="142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Carcinogenicity, germ cell mutagenicity, reproductive toxicity (CMR): </w:t>
            </w:r>
            <w:r>
              <w:rPr>
                <w:rFonts w:eastAsia="Arial" w:cs="Arial" w:ascii="Arial" w:hAnsi="Arial"/>
                <w:sz w:val="20"/>
              </w:rPr>
              <w:t xml:space="preserve">No effects known. </w:t>
            </w:r>
          </w:p>
          <w:p>
            <w:pPr>
              <w:pStyle w:val="Normal"/>
              <w:spacing w:lineRule="auto" w:line="242" w:before="0" w:after="113"/>
              <w:ind w:left="567" w:right="2544" w:hanging="142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Specific target organ toxicity (STOT), single/repeated exposure: </w:t>
            </w:r>
            <w:r>
              <w:rPr>
                <w:rFonts w:eastAsia="Arial" w:cs="Arial" w:ascii="Arial" w:hAnsi="Arial"/>
                <w:sz w:val="20"/>
              </w:rPr>
              <w:t xml:space="preserve">May cause drowsiness or dizziness. </w:t>
            </w:r>
          </w:p>
          <w:p>
            <w:pPr>
              <w:pStyle w:val="Normal"/>
              <w:spacing w:lineRule="auto" w:line="242" w:before="0" w:after="115"/>
              <w:ind w:left="567" w:right="6969" w:hanging="142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Aspiration hazard: </w:t>
            </w:r>
            <w:r>
              <w:rPr>
                <w:rFonts w:eastAsia="Arial" w:cs="Arial" w:ascii="Arial" w:hAnsi="Arial"/>
                <w:sz w:val="20"/>
              </w:rPr>
              <w:t xml:space="preserve">No effects known.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Additional toxicological information: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Inhalation of concentrated vapors as well as oral intake will lead to anesthesia-like conditions and headache, dizziness, etc. Has a degreasing effect on the skin! </w:t>
            </w:r>
          </w:p>
          <w:p>
            <w:pPr>
              <w:pStyle w:val="Normal"/>
              <w:spacing w:lineRule="auto" w:line="240" w:before="0" w:after="0"/>
              <w:ind w:left="566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286" w:hanging="0"/>
        <w:rPr/>
      </w:pPr>
      <w:r>
        <w:rPr/>
        <w:t xml:space="preserve"> </w:t>
      </w:r>
    </w:p>
    <w:p>
      <w:pPr>
        <w:pStyle w:val="Normal"/>
        <w:spacing w:before="0" w:after="4"/>
        <w:ind w:left="-5" w:right="286" w:hanging="10"/>
        <w:rPr/>
      </w:pPr>
      <w:r>
        <w:rPr/>
        <w:t xml:space="preserve">*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1871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left="428" w:hanging="0"/>
        <w:rPr/>
      </w:pPr>
      <w:r>
        <w:rPr/>
        <w:t xml:space="preserve"> </w:t>
      </w:r>
      <w:r>
        <w:rPr/>
        <w:tab/>
        <w:t xml:space="preserve"> </w:t>
      </w:r>
    </w:p>
    <w:p>
      <w:pPr>
        <w:pStyle w:val="Normal"/>
        <w:spacing w:before="0" w:after="0"/>
        <w:ind w:left="281" w:hanging="10"/>
        <w:rPr/>
      </w:pPr>
      <w:r>
        <w:rPr>
          <w:rFonts w:eastAsia="Arial" w:cs="Arial" w:ascii="Arial" w:hAnsi="Arial"/>
          <w:sz w:val="20"/>
        </w:rPr>
        <w:t xml:space="preserve">Product codes:    </w:t>
      </w: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 xml:space="preserve">červený - 20124, 20150, 20156, modrý – 20123, zelený – 20122, 20148, 20157, </w:t>
      </w:r>
    </w:p>
    <w:p>
      <w:pPr>
        <w:pStyle w:val="Normal"/>
        <w:spacing w:before="0" w:after="0"/>
        <w:ind w:left="281" w:hanging="10"/>
        <w:rPr/>
      </w:pP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 xml:space="preserve">                             </w:t>
      </w: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>černý – 20177, 20177-LI, fialový – 20174, oranžový – 20173, 20173-LI</w:t>
      </w:r>
      <w:r>
        <w:rPr>
          <w:rFonts w:eastAsia="Arial" w:cs="Arial" w:ascii="Arial" w:hAnsi="Arial"/>
          <w:b/>
          <w:sz w:val="28"/>
        </w:rPr>
        <w:t xml:space="preserve"> </w:t>
      </w:r>
    </w:p>
    <w:tbl>
      <w:tblPr>
        <w:tblStyle w:val="TableGrid"/>
        <w:tblpPr w:bottomFromText="0" w:horzAnchor="text" w:leftFromText="0" w:rightFromText="0" w:tblpX="135" w:tblpY="85" w:topFromText="0" w:vertAnchor="text"/>
        <w:tblW w:w="9614" w:type="dxa"/>
        <w:jc w:val="left"/>
        <w:tblInd w:w="0" w:type="dxa"/>
        <w:tblCellMar>
          <w:top w:w="79" w:type="dxa"/>
          <w:left w:w="1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4608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2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29"/>
            </w:tblGrid>
            <w:tr>
              <w:trPr>
                <w:trHeight w:val="319" w:hRule="atLeast"/>
              </w:trPr>
              <w:tc>
                <w:tcPr>
                  <w:tcW w:w="922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12 Ekologické informace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12.1 Toxicita</w:t>
            </w:r>
          </w:p>
          <w:p>
            <w:pPr>
              <w:pStyle w:val="Normal"/>
              <w:spacing w:lineRule="auto" w:line="240" w:before="0" w:after="43"/>
              <w:ind w:left="427" w:hanging="0"/>
              <w:rPr/>
            </w:pPr>
            <w:r>
              <w:rPr>
                <w:rFonts w:eastAsia="Arial" w:cs="Arial" w:ascii="Arial" w:hAnsi="Arial"/>
                <w:b/>
                <w:sz w:val="20"/>
                <w:u w:val="single" w:color="000000"/>
              </w:rPr>
              <w:t>Aquatic Toxicity: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768" w:leader="none"/>
                <w:tab w:val="center" w:pos="2059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>67-63-0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>2-PROPANOL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709"/>
                <w:tab w:val="center" w:pos="699" w:leader="none"/>
                <w:tab w:val="center" w:pos="3061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LC-50  </w:t>
              <w:tab/>
              <w:t xml:space="preserve">10000 mg/l (Fisch, 96 h) </w:t>
            </w:r>
          </w:p>
          <w:p>
            <w:pPr>
              <w:pStyle w:val="Normal"/>
              <w:tabs>
                <w:tab w:val="clear" w:pos="709"/>
                <w:tab w:val="center" w:pos="699" w:leader="none"/>
                <w:tab w:val="center" w:pos="3226" w:leader="none"/>
              </w:tabs>
              <w:spacing w:lineRule="auto" w:line="240" w:before="0" w:after="107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LC-50  </w:t>
              <w:tab/>
              <w:t xml:space="preserve">&gt;10000 mg/l (Daphnia, 24h) </w:t>
            </w:r>
          </w:p>
          <w:p>
            <w:pPr>
              <w:pStyle w:val="Normal"/>
              <w:spacing w:lineRule="auto" w:line="240" w:before="0" w:after="104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12.2 Persistence a rozložitelnost: snadno biologicky odbouretelné</w:t>
            </w:r>
            <w:r>
              <w:rPr>
                <w:rFonts w:eastAsia="Arial" w:cs="Arial" w:ascii="Arial" w:hAnsi="Arial"/>
                <w:sz w:val="20"/>
              </w:rPr>
              <w:t>.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39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12.3 Bioakumulační potenciál: Nelze očekávat biologický potenciál</w:t>
            </w:r>
            <w:r>
              <w:rPr>
                <w:rFonts w:eastAsia="Arial" w:cs="Arial" w:ascii="Arial" w:hAnsi="Arial"/>
                <w:sz w:val="20"/>
              </w:rPr>
              <w:t xml:space="preserve">. </w:t>
            </w:r>
          </w:p>
          <w:p>
            <w:pPr>
              <w:pStyle w:val="Normal"/>
              <w:spacing w:lineRule="auto" w:line="240" w:before="0" w:after="17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12.4 Mobilita v půdě: údaje nejsou k dispozici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17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12.5 Výsledky posouzení  PBT a vPvB:  </w:t>
            </w:r>
            <w:r>
              <w:rPr>
                <w:rFonts w:eastAsia="Arial" w:cs="Arial" w:ascii="Arial" w:hAnsi="Arial"/>
                <w:sz w:val="20"/>
              </w:rPr>
              <w:t>Data nejsou k dispozici.</w:t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24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12.6 Jiné nepříznivé účinky: data nejsou k dispzici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 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286" w:hanging="0"/>
        <w:rPr/>
      </w:pPr>
      <w:r>
        <w:rPr/>
        <w:t xml:space="preserve"> </w:t>
      </w:r>
    </w:p>
    <w:p>
      <w:pPr>
        <w:pStyle w:val="Normal"/>
        <w:spacing w:before="0" w:after="4"/>
        <w:ind w:left="-5" w:right="286" w:hanging="10"/>
        <w:rPr/>
      </w:pPr>
      <w:r>
        <w:rPr/>
        <w:t xml:space="preserve">*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W w:w="9614" w:type="dxa"/>
        <w:jc w:val="left"/>
        <w:tblInd w:w="135" w:type="dxa"/>
        <w:tblCellMar>
          <w:top w:w="79" w:type="dxa"/>
          <w:left w:w="15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4046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89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9"/>
            </w:tblGrid>
            <w:tr>
              <w:trPr>
                <w:trHeight w:val="319" w:hRule="atLeast"/>
              </w:trPr>
              <w:tc>
                <w:tcPr>
                  <w:tcW w:w="9289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13 Pokyny pro odstraňování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37" w:before="0" w:after="5"/>
              <w:ind w:left="427" w:right="4674" w:hanging="427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13.1 Metody nakládání s odpady </w:t>
            </w:r>
          </w:p>
          <w:p>
            <w:pPr>
              <w:pStyle w:val="Normal"/>
              <w:spacing w:lineRule="auto" w:line="237" w:before="0" w:after="5"/>
              <w:ind w:left="427" w:right="4674" w:hanging="427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Doporučení: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Nesmí být smíšeno s domácím odpadem, 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Musí být likvidováno autorizovanou institucí. </w:t>
            </w:r>
          </w:p>
          <w:p>
            <w:pPr>
              <w:pStyle w:val="Normal"/>
              <w:spacing w:lineRule="auto" w:line="240" w:before="0" w:after="0"/>
              <w:ind w:left="427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ind w:left="427" w:hanging="0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>Metody likvidace znečištěného obalu: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>Použitý, řádně vyprázdněný obal odevzdejte na sběrné místo obalových odpadů.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W w:w="9614" w:type="dxa"/>
        <w:jc w:val="left"/>
        <w:tblInd w:w="135" w:type="dxa"/>
        <w:tblCellMar>
          <w:top w:w="80" w:type="dxa"/>
          <w:left w:w="15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3687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87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7"/>
            </w:tblGrid>
            <w:tr>
              <w:trPr>
                <w:trHeight w:val="317" w:hRule="atLeast"/>
              </w:trPr>
              <w:tc>
                <w:tcPr>
                  <w:tcW w:w="9287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14 Informace pro přepravu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14.1 UN číslo</w:t>
            </w:r>
          </w:p>
          <w:p>
            <w:pPr>
              <w:pStyle w:val="Normal"/>
              <w:tabs>
                <w:tab w:val="clear" w:pos="709"/>
                <w:tab w:val="center" w:pos="2061" w:leader="none"/>
                <w:tab w:val="center" w:pos="4903" w:leader="none"/>
              </w:tabs>
              <w:spacing w:lineRule="auto" w:line="240" w:before="0" w:after="11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ADR/RID, ADN, IMDG, ICAO/IATA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UN1950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14.2 UN přeprava </w:t>
            </w:r>
          </w:p>
          <w:p>
            <w:pPr>
              <w:pStyle w:val="Normal"/>
              <w:tabs>
                <w:tab w:val="clear" w:pos="709"/>
                <w:tab w:val="center" w:pos="1176" w:leader="none"/>
                <w:tab w:val="center" w:pos="508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ADR/RID, ADN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AEROSOLS </w:t>
            </w:r>
          </w:p>
          <w:p>
            <w:pPr>
              <w:pStyle w:val="Normal"/>
              <w:tabs>
                <w:tab w:val="clear" w:pos="709"/>
                <w:tab w:val="center" w:pos="745" w:leader="none"/>
                <w:tab w:val="center" w:pos="5086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eastAsia="Arial" w:cs="Arial" w:ascii="Arial" w:hAnsi="Arial"/>
                <w:b/>
                <w:sz w:val="20"/>
              </w:rPr>
              <w:t>IMDG</w:t>
            </w:r>
            <w:r>
              <w:rPr>
                <w:rFonts w:eastAsia="Arial" w:cs="Arial" w:ascii="Arial" w:hAnsi="Arial"/>
                <w:sz w:val="20"/>
              </w:rPr>
              <w:t xml:space="preserve"> </w:t>
              <w:tab/>
              <w:t xml:space="preserve">AEROSOLS </w:t>
            </w:r>
          </w:p>
          <w:p>
            <w:pPr>
              <w:pStyle w:val="Normal"/>
              <w:tabs>
                <w:tab w:val="clear" w:pos="709"/>
                <w:tab w:val="center" w:pos="1000" w:leader="none"/>
                <w:tab w:val="center" w:pos="5603" w:leader="none"/>
              </w:tabs>
              <w:spacing w:lineRule="auto" w:line="240" w:before="0" w:after="11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ICAO/IATA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AEROSOLS, flammable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14.3 Transportní rizika </w:t>
            </w:r>
          </w:p>
          <w:p>
            <w:pPr>
              <w:pStyle w:val="Normal"/>
              <w:tabs>
                <w:tab w:val="clear" w:pos="709"/>
                <w:tab w:val="center" w:pos="2061" w:leader="none"/>
                <w:tab w:val="center" w:pos="4675" w:leader="none"/>
              </w:tabs>
              <w:spacing w:lineRule="auto" w:line="240" w:before="0" w:after="11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ADR/RID, ADN, IMDG, ICAO/IATA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2.1 </w:t>
            </w:r>
          </w:p>
          <w:p>
            <w:pPr>
              <w:pStyle w:val="Normal"/>
              <w:spacing w:lineRule="auto" w:line="240" w:before="0" w:after="21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Klasifikační kody</w:t>
            </w:r>
          </w:p>
          <w:p>
            <w:pPr>
              <w:pStyle w:val="Normal"/>
              <w:tabs>
                <w:tab w:val="clear" w:pos="709"/>
                <w:tab w:val="center" w:pos="1176" w:leader="none"/>
                <w:tab w:val="center" w:pos="3020" w:leader="none"/>
                <w:tab w:val="center" w:pos="4653" w:leader="none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ADR/RID, ADN </w:t>
              <w:tab/>
            </w:r>
            <w:r>
              <w:rPr/>
              <w:t xml:space="preserve">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5F </w:t>
            </w:r>
          </w:p>
          <w:p>
            <w:pPr>
              <w:pStyle w:val="Normal"/>
              <w:spacing w:lineRule="auto" w:line="240" w:before="0" w:after="0"/>
              <w:ind w:left="427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281" w:hanging="10"/>
        <w:rPr/>
      </w:pPr>
      <w:r>
        <w:rPr>
          <w:rFonts w:eastAsia="Arial" w:cs="Arial" w:ascii="Arial" w:hAnsi="Arial"/>
          <w:sz w:val="20"/>
        </w:rPr>
        <w:t xml:space="preserve">Product codes:    </w:t>
      </w: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 xml:space="preserve">červený - 20124, 20150, 20156, modrý – 20123, zelený – 20122, 20148, 20157, </w:t>
      </w:r>
    </w:p>
    <w:p>
      <w:pPr>
        <w:pStyle w:val="Normal"/>
        <w:spacing w:before="0" w:after="0"/>
        <w:ind w:left="281" w:hanging="10"/>
        <w:rPr/>
      </w:pP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 xml:space="preserve">                             </w:t>
      </w:r>
      <w:r>
        <w:rPr>
          <w:rFonts w:eastAsia="Segoe UI Symbol" w:cs="Segoe UI Symbol" w:ascii="Segoe UI Symbol" w:hAnsi="Segoe UI Symbol"/>
          <w:b w:val="false"/>
          <w:bCs w:val="false"/>
          <w:sz w:val="20"/>
          <w:u w:val="none"/>
        </w:rPr>
        <w:t>černý – 20177, 20177-LI, fialový – 20174, oranžový – 20173, 20173-LI</w:t>
      </w:r>
      <w:r>
        <w:rPr>
          <w:rFonts w:eastAsia="Arial" w:cs="Arial" w:ascii="Arial" w:hAnsi="Arial"/>
          <w:b/>
          <w:sz w:val="28"/>
        </w:rPr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W w:w="9614" w:type="dxa"/>
        <w:jc w:val="left"/>
        <w:tblInd w:w="135" w:type="dxa"/>
        <w:tblCellMar>
          <w:top w:w="0" w:type="dxa"/>
          <w:left w:w="153" w:type="dxa"/>
          <w:bottom w:w="0" w:type="dxa"/>
          <w:right w:w="109" w:type="dxa"/>
        </w:tblCellMar>
        <w:tblLook w:firstRow="1" w:noVBand="1" w:lastRow="0" w:firstColumn="1" w:lastColumn="0" w:noHBand="0" w:val="04a0"/>
      </w:tblPr>
      <w:tblGrid>
        <w:gridCol w:w="9614"/>
      </w:tblGrid>
      <w:tr>
        <w:trPr>
          <w:trHeight w:val="3207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Zvláštní ustanovení</w:t>
            </w:r>
          </w:p>
          <w:p>
            <w:pPr>
              <w:pStyle w:val="Normal"/>
              <w:tabs>
                <w:tab w:val="clear" w:pos="709"/>
                <w:tab w:val="center" w:pos="1176" w:leader="none"/>
                <w:tab w:val="center" w:pos="5370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ADR/RID, ADN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190, 327, 344, 625 </w:t>
            </w:r>
          </w:p>
          <w:p>
            <w:pPr>
              <w:pStyle w:val="Normal"/>
              <w:tabs>
                <w:tab w:val="clear" w:pos="709"/>
                <w:tab w:val="center" w:pos="749" w:leader="none"/>
                <w:tab w:val="center" w:pos="5758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IMDG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63, 190, 277, 327, 344, 959 </w:t>
            </w:r>
          </w:p>
          <w:p>
            <w:pPr>
              <w:pStyle w:val="Normal"/>
              <w:tabs>
                <w:tab w:val="clear" w:pos="709"/>
                <w:tab w:val="center" w:pos="1000" w:leader="none"/>
                <w:tab w:val="center" w:pos="5347" w:leader="none"/>
              </w:tabs>
              <w:spacing w:lineRule="auto" w:line="240" w:before="0" w:after="11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· </w:t>
            </w:r>
            <w:r>
              <w:rPr>
                <w:rFonts w:eastAsia="Arial" w:cs="Arial" w:ascii="Arial" w:hAnsi="Arial"/>
                <w:b/>
                <w:sz w:val="20"/>
              </w:rPr>
              <w:t xml:space="preserve">ICAO/IATA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A145, A167, A802 </w:t>
            </w:r>
          </w:p>
          <w:p>
            <w:pPr>
              <w:pStyle w:val="Normal"/>
              <w:tabs>
                <w:tab w:val="clear" w:pos="709"/>
                <w:tab w:val="center" w:pos="4758" w:leader="none"/>
              </w:tabs>
              <w:spacing w:lineRule="auto" w:line="240" w:before="0" w:after="11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14.4 Balící skupina </w:t>
              <w:tab/>
              <w:t xml:space="preserve">žádná </w:t>
            </w:r>
          </w:p>
          <w:p>
            <w:pPr>
              <w:pStyle w:val="Normal"/>
              <w:tabs>
                <w:tab w:val="clear" w:pos="709"/>
                <w:tab w:val="center" w:pos="4758" w:leader="none"/>
              </w:tabs>
              <w:spacing w:lineRule="auto" w:line="240" w:before="0" w:after="11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14.5 Rizika pro životní prostředí 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žádná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14.6 Bezpečnostní opatření pro uživatele</w:t>
            </w:r>
          </w:p>
          <w:p>
            <w:pPr>
              <w:pStyle w:val="Normal"/>
              <w:tabs>
                <w:tab w:val="clear" w:pos="709"/>
                <w:tab w:val="center" w:pos="642" w:leader="none"/>
                <w:tab w:val="center" w:pos="4930" w:leader="none"/>
              </w:tabs>
              <w:spacing w:lineRule="auto" w:line="240" w:before="0" w:after="108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sz w:val="20"/>
              </w:rPr>
              <w:t xml:space="preserve">EmS </w:t>
              <w:tab/>
              <w:t xml:space="preserve">F-D, S-U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14.7 Hromadná přeprava v souladu s Annex II of MARPOL 73/78 and the IBC Code </w:t>
            </w:r>
          </w:p>
          <w:p>
            <w:pPr>
              <w:pStyle w:val="Normal"/>
              <w:tabs>
                <w:tab w:val="clear" w:pos="709"/>
                <w:tab w:val="center" w:pos="425" w:leader="none"/>
                <w:tab w:val="center" w:pos="5197" w:leader="none"/>
              </w:tabs>
              <w:spacing w:lineRule="auto" w:line="240" w:before="0" w:after="0"/>
              <w:rPr/>
            </w:pPr>
            <w:r>
              <w:rPr/>
              <w:tab/>
            </w:r>
            <w:r>
              <w:rPr>
                <w:rFonts w:eastAsia="Arial" w:cs="Arial" w:ascii="Arial" w:hAnsi="Arial"/>
                <w:b/>
                <w:sz w:val="20"/>
              </w:rPr>
              <w:t xml:space="preserve"> </w:t>
              <w:tab/>
            </w:r>
            <w:r>
              <w:rPr>
                <w:rFonts w:eastAsia="Arial" w:cs="Arial" w:ascii="Arial" w:hAnsi="Arial"/>
                <w:sz w:val="20"/>
              </w:rPr>
              <w:t xml:space="preserve">Není určena </w:t>
            </w:r>
          </w:p>
          <w:p>
            <w:pPr>
              <w:pStyle w:val="Normal"/>
              <w:spacing w:lineRule="auto" w:line="240" w:before="0" w:after="0"/>
              <w:ind w:left="425" w:hanging="0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  <w:tr>
        <w:trPr>
          <w:trHeight w:val="2876" w:hRule="atLeast"/>
        </w:trPr>
        <w:tc>
          <w:tcPr>
            <w:tcW w:w="9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287" w:type="dxa"/>
              <w:jc w:val="left"/>
              <w:tblInd w:w="10" w:type="dxa"/>
              <w:tblCellMar>
                <w:top w:w="15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287"/>
            </w:tblGrid>
            <w:tr>
              <w:trPr>
                <w:trHeight w:val="319" w:hRule="atLeast"/>
              </w:trPr>
              <w:tc>
                <w:tcPr>
                  <w:tcW w:w="9287" w:type="dxa"/>
                  <w:tcBorders/>
                  <w:shd w:color="auto" w:fill="00FF00" w:val="clear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/>
                  </w:pP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 xml:space="preserve">   </w:t>
                  </w:r>
                  <w:r>
                    <w:rPr>
                      <w:rFonts w:eastAsia="Arial" w:cs="Arial" w:ascii="Arial" w:hAnsi="Arial"/>
                      <w:b/>
                      <w:color w:val="FFFFFF"/>
                      <w:sz w:val="26"/>
                      <w:bdr w:val="single" w:sz="8" w:space="0" w:color="000000"/>
                    </w:rPr>
                    <w:t>15 Informace o předpisech</w:t>
                  </w:r>
                  <w:r>
                    <w:rPr>
                      <w:rFonts w:eastAsia="Arial" w:cs="Arial" w:ascii="Arial" w:hAnsi="Arial"/>
                      <w:b/>
                      <w:color w:val="4DFC24"/>
                      <w:sz w:val="26"/>
                      <w:bdr w:val="single" w:sz="8" w:space="0" w:color="000000"/>
                    </w:rPr>
                    <w:t>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sz w:val="20"/>
              </w:rPr>
              <w:t xml:space="preserve"> </w:t>
            </w:r>
          </w:p>
          <w:p>
            <w:pPr>
              <w:pStyle w:val="Normal"/>
              <w:spacing w:lineRule="auto" w:line="254" w:before="0" w:after="0"/>
              <w:ind w:left="559" w:hanging="559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15.1 </w:t>
            </w:r>
          </w:p>
          <w:p>
            <w:pPr>
              <w:pStyle w:val="Normal"/>
              <w:spacing w:lineRule="auto" w:line="254" w:before="0" w:after="0"/>
              <w:ind w:left="559" w:hanging="559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  <w:t xml:space="preserve">Nařízení týkající se bezpečnosti, zdraví a životního prostředí dle EU legislativy: </w:t>
            </w:r>
          </w:p>
          <w:p>
            <w:pPr>
              <w:pStyle w:val="Normal"/>
              <w:spacing w:lineRule="auto" w:line="254" w:before="0" w:after="0"/>
              <w:ind w:left="559" w:hanging="559"/>
              <w:rPr>
                <w:rFonts w:ascii="Arial" w:hAnsi="Arial" w:eastAsia="Arial" w:cs="Arial"/>
                <w:b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</w:rPr>
            </w:r>
          </w:p>
          <w:p>
            <w:pPr>
              <w:pStyle w:val="Normal"/>
              <w:spacing w:lineRule="auto" w:line="254" w:before="0" w:after="0"/>
              <w:ind w:left="559" w:hanging="559"/>
              <w:rPr/>
            </w:pPr>
            <w:r>
              <w:rPr>
                <w:rFonts w:eastAsia="Arial" w:cs="Arial" w:ascii="Arial" w:hAnsi="Arial"/>
                <w:b/>
                <w:sz w:val="20"/>
              </w:rPr>
              <w:t>15.2 Posouzení chemické bezpečnosti: není určeno</w:t>
            </w:r>
            <w:r>
              <w:rPr/>
              <w:t xml:space="preserve"> </w:t>
            </w:r>
          </w:p>
        </w:tc>
      </w:tr>
    </w:tbl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tbl>
      <w:tblPr>
        <w:tblStyle w:val="TableGrid"/>
        <w:tblpPr w:bottomFromText="0" w:horzAnchor="text" w:leftFromText="0" w:rightFromText="0" w:tblpX="135" w:tblpY="-67" w:topFromText="0" w:vertAnchor="text"/>
        <w:tblW w:w="9583" w:type="dxa"/>
        <w:jc w:val="left"/>
        <w:tblInd w:w="31" w:type="dxa"/>
        <w:tblCellMar>
          <w:top w:w="0" w:type="dxa"/>
          <w:left w:w="15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583"/>
      </w:tblGrid>
      <w:tr>
        <w:trPr>
          <w:trHeight w:val="6555" w:hRule="atLeast"/>
        </w:trPr>
        <w:tc>
          <w:tcPr>
            <w:tcW w:w="9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z w:val="16"/>
              </w:rPr>
            </w:pPr>
            <w:r>
              <w:rPr/>
            </w:r>
          </w:p>
        </w:tc>
      </w:tr>
    </w:tbl>
    <w:p>
      <w:pPr>
        <w:pStyle w:val="Normal"/>
        <w:spacing w:before="0" w:after="5"/>
        <w:ind w:right="243" w:hanging="0"/>
        <w:rPr/>
      </w:pPr>
      <w:r>
        <w:rPr/>
        <w:t xml:space="preserve"> </w:t>
      </w:r>
      <w:r>
        <w:rPr/>
        <w:tab/>
      </w:r>
      <w:r>
        <w:rPr>
          <w:rFonts w:eastAsia="Arial" w:cs="Arial" w:ascii="Arial" w:hAnsi="Arial"/>
          <w:b/>
          <w:color w:val="FFFFFF"/>
          <w:sz w:val="26"/>
        </w:rPr>
        <w:t xml:space="preserve">  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p>
      <w:pPr>
        <w:pStyle w:val="Normal"/>
        <w:spacing w:before="0" w:after="0"/>
        <w:ind w:right="64" w:hanging="0"/>
        <w:rPr/>
      </w:pPr>
      <w:r>
        <w:rPr/>
        <w:t xml:space="preserve"> </w:t>
      </w:r>
    </w:p>
    <w:sectPr>
      <w:headerReference w:type="even" r:id="rId9"/>
      <w:headerReference w:type="default" r:id="rId10"/>
      <w:type w:val="nextPage"/>
      <w:pgSz w:w="11906" w:h="16838"/>
      <w:pgMar w:left="989" w:right="1104" w:header="290" w:top="2706" w:footer="0" w:bottom="63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Segoe UI Symbol">
    <w:charset w:val="ee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515"/>
      <w:ind w:left="8508" w:hanging="0"/>
      <w:rPr/>
    </w:pPr>
    <w:r>
      <w:rPr>
        <w:rFonts w:eastAsia="Arial" w:cs="Arial" w:ascii="Arial" w:hAnsi="Arial"/>
        <w:b/>
        <w:sz w:val="32"/>
      </w:rPr>
      <w:t xml:space="preserve">                                                                                                </w:t>
    </w:r>
    <w:r>
      <w:rPr>
        <w:rFonts w:eastAsia="Arial" w:cs="Arial" w:ascii="Arial" w:hAnsi="Arial"/>
        <w:sz w:val="32"/>
        <w:vertAlign w:val="subscript"/>
      </w:rPr>
      <w:t xml:space="preserve">Strana: </w:t>
    </w:r>
    <w:r>
      <w:rPr>
        <w:rFonts w:eastAsia="Arial" w:cs="Arial" w:ascii="Arial" w:hAnsi="Arial"/>
        <w:sz w:val="32"/>
        <w:vertAlign w:val="subscript"/>
      </w:rPr>
      <w:fldChar w:fldCharType="begin"/>
    </w:r>
    <w:r>
      <w:rPr>
        <w:vertAlign w:val="subscript"/>
        <w:sz w:val="32"/>
        <w:rFonts w:eastAsia="Arial" w:cs="Arial" w:ascii="Arial" w:hAnsi="Arial"/>
      </w:rPr>
      <w:instrText> PAGE </w:instrText>
    </w:r>
    <w:r>
      <w:rPr>
        <w:vertAlign w:val="subscript"/>
        <w:sz w:val="32"/>
        <w:rFonts w:eastAsia="Arial" w:cs="Arial" w:ascii="Arial" w:hAnsi="Arial"/>
      </w:rPr>
      <w:fldChar w:fldCharType="separate"/>
    </w:r>
    <w:r>
      <w:rPr>
        <w:vertAlign w:val="subscript"/>
        <w:sz w:val="32"/>
        <w:rFonts w:eastAsia="Arial" w:cs="Arial" w:ascii="Arial" w:hAnsi="Arial"/>
      </w:rPr>
      <w:t>6</w:t>
    </w:r>
    <w:r>
      <w:rPr>
        <w:vertAlign w:val="subscript"/>
        <w:sz w:val="32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32"/>
        <w:vertAlign w:val="subscript"/>
      </w:rPr>
      <w:t>/9</w:t>
    </w: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0"/>
      <w:ind w:right="3754" w:hanging="0"/>
      <w:jc w:val="center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page">
            <wp:posOffset>648335</wp:posOffset>
          </wp:positionH>
          <wp:positionV relativeFrom="page">
            <wp:posOffset>560070</wp:posOffset>
          </wp:positionV>
          <wp:extent cx="1797050" cy="552450"/>
          <wp:effectExtent l="0" t="0" r="0" b="0"/>
          <wp:wrapSquare wrapText="bothSides"/>
          <wp:docPr id="4" name="Picture 39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9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sz w:val="32"/>
      </w:rPr>
      <w:t xml:space="preserve"> </w:t>
    </w:r>
    <w:r>
      <w:rPr>
        <w:rFonts w:eastAsia="Arial" w:cs="Arial" w:ascii="Arial" w:hAnsi="Arial"/>
        <w:b/>
        <w:sz w:val="32"/>
      </w:rPr>
      <w:t xml:space="preserve">    </w:t>
    </w:r>
    <w:r>
      <w:rPr>
        <w:rFonts w:eastAsia="Arial" w:cs="Arial" w:ascii="Arial" w:hAnsi="Arial"/>
        <w:b/>
        <w:sz w:val="32"/>
      </w:rPr>
      <w:t>Bezpečnostní list</w:t>
    </w:r>
    <w:r>
      <w:rPr>
        <w:rFonts w:eastAsia="Arial" w:cs="Arial" w:ascii="Arial" w:hAnsi="Arial"/>
        <w:sz w:val="24"/>
      </w:rPr>
      <w:t xml:space="preserve"> </w:t>
    </w:r>
  </w:p>
  <w:p>
    <w:pPr>
      <w:pStyle w:val="Normal"/>
      <w:spacing w:before="0" w:after="0"/>
      <w:ind w:left="108" w:hanging="0"/>
      <w:jc w:val="center"/>
      <w:rPr/>
    </w:pPr>
    <w:r>
      <w:rPr>
        <w:rFonts w:eastAsia="Arial" w:cs="Arial" w:ascii="Arial" w:hAnsi="Arial"/>
        <w:b/>
        <w:sz w:val="26"/>
      </w:rPr>
      <w:t xml:space="preserve">Dle nařízení (EC) Nr. 1907/2006 ve znění pozdějších předpisů </w:t>
    </w:r>
  </w:p>
  <w:p>
    <w:pPr>
      <w:pStyle w:val="Normal"/>
      <w:spacing w:before="0" w:after="103"/>
      <w:ind w:left="473" w:hanging="0"/>
      <w:rPr/>
    </w:pPr>
    <w:r>
      <w:rPr>
        <w:rFonts w:eastAsia="Arial" w:cs="Arial" w:ascii="Arial" w:hAnsi="Arial"/>
        <w:sz w:val="20"/>
      </w:rPr>
      <w:t>Datum vydání: 2</w:t>
    </w:r>
    <w:r>
      <w:rPr>
        <w:rFonts w:eastAsia="Arial" w:cs="Arial" w:ascii="Arial" w:hAnsi="Arial"/>
        <w:sz w:val="20"/>
      </w:rPr>
      <w:t>6.08.2021</w:t>
    </w:r>
    <w:r>
      <w:rPr>
        <w:rFonts w:eastAsia="Arial" w:cs="Arial" w:ascii="Arial" w:hAnsi="Arial"/>
        <w:sz w:val="20"/>
      </w:rPr>
      <w:t xml:space="preserve">                                                    </w:t>
      <w:tab/>
      <w:tab/>
      <w:t xml:space="preserve">   Datum revize: </w:t>
    </w:r>
    <w:r>
      <w:rPr>
        <w:rFonts w:eastAsia="Arial" w:cs="Arial" w:ascii="Arial" w:hAnsi="Arial"/>
        <w:sz w:val="20"/>
      </w:rPr>
      <w:t>26.08.2021</w:t>
    </w:r>
    <w:r>
      <w:rPr>
        <w:rFonts w:eastAsia="Arial" w:cs="Arial" w:ascii="Arial" w:hAnsi="Arial"/>
        <w:sz w:val="20"/>
      </w:rPr>
      <w:t xml:space="preserve"> </w: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734695</wp:posOffset>
              </wp:positionH>
              <wp:positionV relativeFrom="page">
                <wp:posOffset>1714500</wp:posOffset>
              </wp:positionV>
              <wp:extent cx="6002020" cy="166370"/>
              <wp:effectExtent l="0" t="0" r="0" b="0"/>
              <wp:wrapNone/>
              <wp:docPr id="5" name="Group 2824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560" cy="165600"/>
                      </a:xfrm>
                    </wpg:grpSpPr>
                    <wps:wsp>
                      <wps:cNvSpPr/>
                      <wps:spPr>
                        <a:xfrm>
                          <a:off x="0" y="1573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760" y="157320"/>
                          <a:ext cx="59868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9066" h="9144">
                              <a:moveTo>
                                <a:pt x="0" y="0"/>
                              </a:moveTo>
                              <a:lnTo>
                                <a:pt x="5989066" y="0"/>
                              </a:lnTo>
                              <a:lnTo>
                                <a:pt x="5989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1573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8280" cy="156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0"/>
                          <a:ext cx="8280" cy="156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242" style="position:absolute;margin-left:57.85pt;margin-top:135pt;width:472.55pt;height:13.05pt" coordorigin="1157,2700" coordsize="9451,26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515"/>
      <w:rPr/>
    </w:pPr>
    <w:r>
      <w:rPr>
        <w:rFonts w:eastAsia="Arial" w:cs="Arial" w:ascii="Arial" w:hAnsi="Arial"/>
        <w:b/>
        <w:sz w:val="32"/>
      </w:rPr>
      <w:t xml:space="preserve">                                                                                                 </w:t>
    </w:r>
    <w:r>
      <w:rPr>
        <w:rFonts w:eastAsia="Arial" w:cs="Arial" w:ascii="Arial" w:hAnsi="Arial"/>
        <w:sz w:val="32"/>
        <w:vertAlign w:val="subscript"/>
      </w:rPr>
      <w:t xml:space="preserve">Strana: </w:t>
    </w:r>
    <w:r>
      <w:rPr>
        <w:rFonts w:eastAsia="Arial" w:cs="Arial" w:ascii="Arial" w:hAnsi="Arial"/>
        <w:sz w:val="32"/>
        <w:vertAlign w:val="subscript"/>
      </w:rPr>
      <w:fldChar w:fldCharType="begin"/>
    </w:r>
    <w:r>
      <w:rPr>
        <w:vertAlign w:val="subscript"/>
        <w:sz w:val="32"/>
        <w:rFonts w:eastAsia="Arial" w:cs="Arial" w:ascii="Arial" w:hAnsi="Arial"/>
      </w:rPr>
      <w:instrText> PAGE </w:instrText>
    </w:r>
    <w:r>
      <w:rPr>
        <w:vertAlign w:val="subscript"/>
        <w:sz w:val="32"/>
        <w:rFonts w:eastAsia="Arial" w:cs="Arial" w:ascii="Arial" w:hAnsi="Arial"/>
      </w:rPr>
      <w:fldChar w:fldCharType="separate"/>
    </w:r>
    <w:r>
      <w:rPr>
        <w:vertAlign w:val="subscript"/>
        <w:sz w:val="32"/>
        <w:rFonts w:eastAsia="Arial" w:cs="Arial" w:ascii="Arial" w:hAnsi="Arial"/>
      </w:rPr>
      <w:t>5</w:t>
    </w:r>
    <w:r>
      <w:rPr>
        <w:vertAlign w:val="subscript"/>
        <w:sz w:val="32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32"/>
        <w:vertAlign w:val="subscript"/>
      </w:rPr>
      <w:t>/9</w:t>
    </w: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0"/>
      <w:ind w:right="906" w:hanging="0"/>
      <w:jc w:val="center"/>
      <w:rPr>
        <w:rFonts w:ascii="Arial" w:hAnsi="Arial" w:eastAsia="Arial" w:cs="Arial"/>
        <w:sz w:val="24"/>
      </w:rPr>
    </w:pPr>
    <w:r>
      <w:rPr>
        <w:rFonts w:eastAsia="Arial" w:cs="Arial" w:ascii="Arial" w:hAnsi="Arial"/>
        <w:b/>
        <w:sz w:val="32"/>
      </w:rPr>
      <w:t>Bezpečnostní list</w:t>
    </w:r>
    <w:r>
      <w:rPr>
        <w:rFonts w:eastAsia="Arial" w:cs="Arial" w:ascii="Arial" w:hAnsi="Arial"/>
        <w:sz w:val="24"/>
      </w:rPr>
      <w:t xml:space="preserve"> </w:t>
    </w:r>
  </w:p>
  <w:p>
    <w:pPr>
      <w:pStyle w:val="Normal"/>
      <w:spacing w:before="0" w:after="0"/>
      <w:ind w:left="108" w:hanging="0"/>
      <w:jc w:val="center"/>
      <w:rPr/>
    </w:pPr>
    <w:r>
      <w:rPr>
        <w:rFonts w:eastAsia="Arial" w:cs="Arial" w:ascii="Arial" w:hAnsi="Arial"/>
        <w:b/>
        <w:sz w:val="26"/>
      </w:rPr>
      <w:t xml:space="preserve">Dle nařízení (EC) Nr. 1907/2006 ve znění pozdějších předpisů </w:t>
    </w:r>
  </w:p>
  <w:p>
    <w:pPr>
      <w:pStyle w:val="Normal"/>
      <w:spacing w:before="0" w:after="0"/>
      <w:ind w:left="473" w:hanging="0"/>
      <w:rPr/>
    </w:pPr>
    <w:r>
      <mc:AlternateContent>
        <mc:Choice Requires="wpg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648335</wp:posOffset>
              </wp:positionH>
              <wp:positionV relativeFrom="page">
                <wp:posOffset>560070</wp:posOffset>
              </wp:positionV>
              <wp:extent cx="6088380" cy="938530"/>
              <wp:effectExtent l="0" t="0" r="0" b="0"/>
              <wp:wrapNone/>
              <wp:docPr id="6" name="Group 281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7600" cy="937800"/>
                      </a:xfrm>
                    </wpg:grpSpPr>
                    <wps:wsp>
                      <wps:cNvSpPr/>
                      <wps:spPr>
                        <a:xfrm>
                          <a:off x="86400" y="9295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2160" y="929520"/>
                          <a:ext cx="59868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9066" h="9144">
                              <a:moveTo>
                                <a:pt x="0" y="0"/>
                              </a:moveTo>
                              <a:lnTo>
                                <a:pt x="5989066" y="0"/>
                              </a:lnTo>
                              <a:lnTo>
                                <a:pt x="5989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079320" y="9295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Picture 2818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795680" cy="550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8180" style="position:absolute;margin-left:51.05pt;margin-top:44.1pt;width:479.3pt;height:73.8pt" coordorigin="1021,882" coordsize="9586,1476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8184" stroked="f" style="position:absolute;left:1021;top:882;width:2827;height:866;mso-position-horizontal-relative:page;mso-position-vertical-relative:page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rFonts w:eastAsia="Arial" w:cs="Arial" w:ascii="Arial" w:hAnsi="Arial"/>
        <w:sz w:val="20"/>
      </w:rPr>
      <w:t>Datum vydání: 2</w:t>
    </w:r>
    <w:r>
      <w:rPr>
        <w:rFonts w:eastAsia="Arial" w:cs="Arial" w:ascii="Arial" w:hAnsi="Arial"/>
        <w:sz w:val="20"/>
      </w:rPr>
      <w:t>6.08.2021</w:t>
    </w:r>
    <w:r>
      <w:rPr>
        <w:rFonts w:eastAsia="Arial" w:cs="Arial" w:ascii="Arial" w:hAnsi="Arial"/>
        <w:sz w:val="20"/>
      </w:rPr>
      <w:t xml:space="preserve">                         </w:t>
      <w:tab/>
      <w:tab/>
      <w:tab/>
      <w:tab/>
      <w:tab/>
      <w:t xml:space="preserve">Datum revize: </w:t>
    </w:r>
    <w:r>
      <w:rPr>
        <w:rFonts w:eastAsia="Arial" w:cs="Arial" w:ascii="Arial" w:hAnsi="Arial"/>
        <w:color w:val="000000"/>
        <w:sz w:val="20"/>
      </w:rPr>
      <w:t>26.08.2021</w:t>
    </w:r>
    <w:r>
      <w:rPr>
        <w:rFonts w:eastAsia="Arial" w:cs="Arial" w:ascii="Arial" w:hAnsi="Arial"/>
        <w:sz w:val="20"/>
      </w:rPr>
      <w:t xml:space="preserve"> </w:t>
    </w:r>
  </w:p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734695</wp:posOffset>
              </wp:positionH>
              <wp:positionV relativeFrom="page">
                <wp:posOffset>1498600</wp:posOffset>
              </wp:positionV>
              <wp:extent cx="6002020" cy="383540"/>
              <wp:effectExtent l="0" t="0" r="0" b="0"/>
              <wp:wrapNone/>
              <wp:docPr id="7" name="Group 28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560" cy="383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828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164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16408"/>
                              </a:lnTo>
                              <a:lnTo>
                                <a:pt x="0" y="2164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0"/>
                          <a:ext cx="828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164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16408"/>
                              </a:lnTo>
                              <a:lnTo>
                                <a:pt x="0" y="2164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7476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760" y="374760"/>
                          <a:ext cx="59868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9066" h="9144">
                              <a:moveTo>
                                <a:pt x="0" y="0"/>
                              </a:moveTo>
                              <a:lnTo>
                                <a:pt x="5989066" y="0"/>
                              </a:lnTo>
                              <a:lnTo>
                                <a:pt x="5989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37476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5280"/>
                          <a:ext cx="8280" cy="15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215280"/>
                          <a:ext cx="8280" cy="15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185" style="position:absolute;margin-left:57.85pt;margin-top:118pt;width:472.55pt;height:30.15pt" coordorigin="1157,2360" coordsize="9451,603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59" w:before="0" w:after="16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8" name="Group 281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0"/>
                      </a:xfrm>
                    </wpg:grpSpPr>
                  </wpg:wg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515"/>
      <w:rPr/>
    </w:pPr>
    <w:r>
      <w:rPr>
        <w:rFonts w:eastAsia="Arial" w:cs="Arial" w:ascii="Arial" w:hAnsi="Arial"/>
        <w:b/>
        <w:sz w:val="32"/>
      </w:rPr>
      <w:t xml:space="preserve">                                                                                                 </w:t>
    </w:r>
    <w:r>
      <w:rPr>
        <w:rFonts w:eastAsia="Arial" w:cs="Arial" w:ascii="Arial" w:hAnsi="Arial"/>
        <w:sz w:val="32"/>
        <w:vertAlign w:val="subscript"/>
      </w:rPr>
      <w:t xml:space="preserve">Strana: </w:t>
    </w:r>
    <w:r>
      <w:rPr>
        <w:rFonts w:eastAsia="Arial" w:cs="Arial" w:ascii="Arial" w:hAnsi="Arial"/>
        <w:sz w:val="32"/>
        <w:vertAlign w:val="subscript"/>
      </w:rPr>
      <w:fldChar w:fldCharType="begin"/>
    </w:r>
    <w:r>
      <w:rPr>
        <w:vertAlign w:val="subscript"/>
        <w:sz w:val="32"/>
        <w:rFonts w:eastAsia="Arial" w:cs="Arial" w:ascii="Arial" w:hAnsi="Arial"/>
      </w:rPr>
      <w:instrText> PAGE </w:instrText>
    </w:r>
    <w:r>
      <w:rPr>
        <w:vertAlign w:val="subscript"/>
        <w:sz w:val="32"/>
        <w:rFonts w:eastAsia="Arial" w:cs="Arial" w:ascii="Arial" w:hAnsi="Arial"/>
      </w:rPr>
      <w:fldChar w:fldCharType="separate"/>
    </w:r>
    <w:r>
      <w:rPr>
        <w:vertAlign w:val="subscript"/>
        <w:sz w:val="32"/>
        <w:rFonts w:eastAsia="Arial" w:cs="Arial" w:ascii="Arial" w:hAnsi="Arial"/>
      </w:rPr>
      <w:t>10</w:t>
    </w:r>
    <w:r>
      <w:rPr>
        <w:vertAlign w:val="subscript"/>
        <w:sz w:val="32"/>
        <w:rFonts w:eastAsia="Arial" w:cs="Arial" w:ascii="Arial" w:hAnsi="Arial"/>
      </w:rPr>
      <w:fldChar w:fldCharType="end"/>
    </w:r>
    <w:r>
      <w:rPr>
        <w:rFonts w:eastAsia="Arial" w:cs="Arial" w:ascii="Arial" w:hAnsi="Arial"/>
        <w:sz w:val="32"/>
        <w:vertAlign w:val="subscript"/>
      </w:rPr>
      <w:t>/9</w:t>
    </w: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0"/>
      <w:ind w:right="906" w:hanging="0"/>
      <w:jc w:val="center"/>
      <w:rPr>
        <w:rFonts w:ascii="Arial" w:hAnsi="Arial" w:eastAsia="Arial" w:cs="Arial"/>
        <w:b/>
        <w:b/>
        <w:sz w:val="32"/>
      </w:rPr>
    </w:pPr>
    <w:r>
      <w:rPr>
        <w:rFonts w:eastAsia="Arial" w:cs="Arial" w:ascii="Arial" w:hAnsi="Arial"/>
        <w:b/>
        <w:sz w:val="32"/>
      </w:rPr>
    </w:r>
  </w:p>
  <w:p>
    <w:pPr>
      <w:pStyle w:val="Normal"/>
      <w:spacing w:before="0" w:after="0"/>
      <w:ind w:right="906" w:hanging="0"/>
      <w:jc w:val="center"/>
      <w:rPr>
        <w:rFonts w:ascii="Arial" w:hAnsi="Arial" w:eastAsia="Arial" w:cs="Arial"/>
        <w:sz w:val="24"/>
      </w:rPr>
    </w:pPr>
    <w:r>
      <w:rPr>
        <w:rFonts w:eastAsia="Arial" w:cs="Arial" w:ascii="Arial" w:hAnsi="Arial"/>
        <w:b/>
        <w:sz w:val="32"/>
      </w:rPr>
      <w:t>Bezpečnostní list</w:t>
    </w:r>
    <w:r>
      <w:rPr>
        <w:rFonts w:eastAsia="Arial" w:cs="Arial" w:ascii="Arial" w:hAnsi="Arial"/>
        <w:sz w:val="24"/>
      </w:rPr>
      <w:t xml:space="preserve"> </w:t>
    </w:r>
  </w:p>
  <w:p>
    <w:pPr>
      <w:pStyle w:val="Normal"/>
      <w:spacing w:before="0" w:after="0"/>
      <w:ind w:left="108" w:hanging="0"/>
      <w:jc w:val="center"/>
      <w:rPr/>
    </w:pPr>
    <w:r>
      <w:rPr>
        <w:rFonts w:eastAsia="Arial" w:cs="Arial" w:ascii="Arial" w:hAnsi="Arial"/>
        <w:b/>
        <w:sz w:val="26"/>
      </w:rPr>
      <w:t xml:space="preserve">Dle nařízení (EC) Nr. 1907/2006 ve znění pozdějších předpisů </w:t>
    </w:r>
  </w:p>
  <w:p>
    <w:pPr>
      <w:pStyle w:val="Normal"/>
      <w:spacing w:before="0" w:after="0"/>
      <w:ind w:left="473" w:hanging="0"/>
      <w:rPr/>
    </w:pPr>
    <w:r>
      <mc:AlternateContent>
        <mc:Choice Requires="wpg">
          <w:drawing>
            <wp:anchor behindDoc="1" distT="0" distB="0" distL="0" distR="0" simplePos="0" locked="0" layoutInCell="1" allowOverlap="1" relativeHeight="16" wp14:anchorId="42A69256">
              <wp:simplePos x="0" y="0"/>
              <wp:positionH relativeFrom="page">
                <wp:posOffset>648335</wp:posOffset>
              </wp:positionH>
              <wp:positionV relativeFrom="page">
                <wp:posOffset>560070</wp:posOffset>
              </wp:positionV>
              <wp:extent cx="6088380" cy="938530"/>
              <wp:effectExtent l="0" t="0" r="0" b="0"/>
              <wp:wrapNone/>
              <wp:docPr id="9" name="Group 2818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7600" cy="937800"/>
                      </a:xfrm>
                    </wpg:grpSpPr>
                    <wps:wsp>
                      <wps:cNvSpPr/>
                      <wps:spPr>
                        <a:xfrm>
                          <a:off x="86400" y="9295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92160" y="929520"/>
                          <a:ext cx="59868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9066" h="9144">
                              <a:moveTo>
                                <a:pt x="0" y="0"/>
                              </a:moveTo>
                              <a:lnTo>
                                <a:pt x="5989066" y="0"/>
                              </a:lnTo>
                              <a:lnTo>
                                <a:pt x="5989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079320" y="92952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Picture 28184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795680" cy="550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8180" style="position:absolute;margin-left:51.05pt;margin-top:44.1pt;width:479.3pt;height:73.85pt" coordorigin="1021,882" coordsize="9586,1477">
              <v:shape id="shape_0" ID="Picture 28184" stroked="f" style="position:absolute;left:1021;top:882;width:2827;height:866;mso-position-horizontal-relative:page;mso-position-vertical-relative:page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rFonts w:eastAsia="Arial" w:cs="Arial" w:ascii="Arial" w:hAnsi="Arial"/>
        <w:sz w:val="20"/>
      </w:rPr>
      <w:t>Datum vydání: 2</w:t>
    </w:r>
    <w:r>
      <w:rPr>
        <w:rFonts w:eastAsia="Arial" w:cs="Arial" w:ascii="Arial" w:hAnsi="Arial"/>
        <w:sz w:val="20"/>
      </w:rPr>
      <w:t>6.08.2021</w:t>
    </w:r>
    <w:r>
      <w:rPr>
        <w:rFonts w:eastAsia="Arial" w:cs="Arial" w:ascii="Arial" w:hAnsi="Arial"/>
        <w:sz w:val="20"/>
      </w:rPr>
      <w:t xml:space="preserve">                         </w:t>
      <w:tab/>
      <w:tab/>
      <w:tab/>
      <w:tab/>
      <w:tab/>
      <w:t>Datum revize: 2</w:t>
    </w:r>
    <w:r>
      <w:rPr>
        <w:rFonts w:eastAsia="Arial" w:cs="Arial" w:ascii="Arial" w:hAnsi="Arial"/>
        <w:sz w:val="20"/>
      </w:rPr>
      <w:t>6.08.2021</w:t>
    </w:r>
    <w:r>
      <w:rPr>
        <w:rFonts w:eastAsia="Arial" w:cs="Arial" w:ascii="Arial" w:hAnsi="Arial"/>
        <w:sz w:val="20"/>
      </w:rPr>
      <w:t xml:space="preserve"> </w:t>
    </w:r>
  </w:p>
  <w:p>
    <w:pPr>
      <w:pStyle w:val="Normal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19" wp14:anchorId="00247829">
              <wp:simplePos x="0" y="0"/>
              <wp:positionH relativeFrom="page">
                <wp:posOffset>734695</wp:posOffset>
              </wp:positionH>
              <wp:positionV relativeFrom="page">
                <wp:posOffset>1498600</wp:posOffset>
              </wp:positionV>
              <wp:extent cx="6002020" cy="383540"/>
              <wp:effectExtent l="0" t="0" r="0" b="0"/>
              <wp:wrapNone/>
              <wp:docPr id="10" name="Group 28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560" cy="383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828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164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16408"/>
                              </a:lnTo>
                              <a:lnTo>
                                <a:pt x="0" y="2164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0"/>
                          <a:ext cx="8280" cy="215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21640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16408"/>
                              </a:lnTo>
                              <a:lnTo>
                                <a:pt x="0" y="2164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37476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760" y="374760"/>
                          <a:ext cx="598680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89066" h="9144">
                              <a:moveTo>
                                <a:pt x="0" y="0"/>
                              </a:moveTo>
                              <a:lnTo>
                                <a:pt x="5989066" y="0"/>
                              </a:lnTo>
                              <a:lnTo>
                                <a:pt x="59890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374760"/>
                          <a:ext cx="8280" cy="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215280"/>
                          <a:ext cx="8280" cy="15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993280" y="215280"/>
                          <a:ext cx="8280" cy="158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6002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60020"/>
                              </a:lnTo>
                              <a:lnTo>
                                <a:pt x="0" y="1600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185" style="position:absolute;margin-left:57.85pt;margin-top:118pt;width:472.55pt;height:30.15pt" coordorigin="1157,2360" coordsize="9451,603"/>
          </w:pict>
        </mc:Fallback>
      </mc:AlternateContent>
    </w:r>
  </w:p>
  <w:p>
    <w:pPr>
      <w:pStyle w:val="Normal"/>
      <w:spacing w:before="0" w:after="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rPr/>
    </w:pPr>
    <w:r>
      <w:rPr>
        <w:rFonts w:eastAsia="Arial" w:cs="Arial" w:ascii="Arial" w:hAnsi="Arial"/>
        <w:b/>
        <w:sz w:val="32"/>
      </w:rPr>
      <w:t xml:space="preserve"> </w:t>
    </w:r>
  </w:p>
  <w:p>
    <w:pPr>
      <w:pStyle w:val="Normal"/>
      <w:spacing w:before="0" w:after="515"/>
      <w:rPr>
        <w:rFonts w:ascii="Arial" w:hAnsi="Arial" w:eastAsia="Arial" w:cs="Arial"/>
        <w:b/>
        <w:b/>
        <w:sz w:val="32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3d540d"/>
    <w:rPr>
      <w:color w:val="0563C1" w:themeColor="hyperlink"/>
      <w:u w:val="single"/>
    </w:rPr>
  </w:style>
  <w:style w:type="character" w:styleId="ZhlavChar" w:customStyle="1">
    <w:name w:val="Záhlaví Char"/>
    <w:basedOn w:val="DefaultParagraphFont"/>
    <w:link w:val="Zhlav"/>
    <w:semiHidden/>
    <w:qFormat/>
    <w:rsid w:val="00a00975"/>
    <w:rPr>
      <w:rFonts w:ascii="Times New Roman" w:hAnsi="Times New Roman" w:eastAsia="Times New Roman" w:cs="Times New Roman"/>
      <w:sz w:val="20"/>
      <w:szCs w:val="20"/>
    </w:rPr>
  </w:style>
  <w:style w:type="character" w:styleId="ZpatChar" w:customStyle="1">
    <w:name w:val="Zápatí Char"/>
    <w:basedOn w:val="DefaultParagraphFont"/>
    <w:link w:val="Zpat"/>
    <w:uiPriority w:val="99"/>
    <w:qFormat/>
    <w:rsid w:val="000c6c5d"/>
    <w:rPr>
      <w:rFonts w:ascii="Calibri" w:hAnsi="Calibri" w:eastAsia="Calibri" w:cs="Calibri"/>
      <w:color w:val="00000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semiHidden/>
    <w:rsid w:val="00a00975"/>
    <w:pPr>
      <w:tabs>
        <w:tab w:val="clear" w:pos="709"/>
        <w:tab w:val="center" w:pos="4536" w:leader="none"/>
        <w:tab w:val="right" w:pos="9072" w:leader="none"/>
      </w:tabs>
      <w:spacing w:lineRule="auto" w:line="240" w:before="60" w:after="60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Zpat">
    <w:name w:val="Footer"/>
    <w:basedOn w:val="Normal"/>
    <w:link w:val="ZpatChar"/>
    <w:uiPriority w:val="99"/>
    <w:unhideWhenUsed/>
    <w:rsid w:val="000c6c5d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etris@ketris.cz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LibreOffice/6.4.4.2$Windows_X86_64 LibreOffice_project/3d775be2011f3886db32dfd395a6a6d1ca2630ff</Application>
  <Pages>13</Pages>
  <Words>1846</Words>
  <Characters>11134</Characters>
  <CharactersWithSpaces>14741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2018-12-03T12:28:00Z</dcterms:created>
  <dc:creator>Stefan J. Eder</dc:creator>
  <dc:description/>
  <dc:language>cs-CZ</dc:language>
  <cp:lastModifiedBy/>
  <cp:lastPrinted>2022-04-11T14:47:44Z</cp:lastPrinted>
  <dcterms:modified xsi:type="dcterms:W3CDTF">2022-04-11T14:55:46Z</dcterms:modified>
  <cp:revision>10</cp:revision>
  <dc:subject/>
  <dc:title>SDB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